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_____________</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0000FF"/>
        </w:rPr>
        <w:t>FORM 10-Q</w:t>
      </w:r>
    </w:p>
    <w:p>
      <w:pPr>
        <w:spacing w:after="0" w:line="23"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_____________</w:t>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2160" w:right="2060" w:hanging="2152"/>
        <w:spacing w:after="0" w:line="489" w:lineRule="auto"/>
        <w:tabs>
          <w:tab w:leader="none" w:pos="28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FF0000"/>
        </w:rPr>
        <w:t>June 30, 2016</w:t>
      </w:r>
      <w:r>
        <w:rPr>
          <w:rFonts w:ascii="Arial" w:cs="Arial" w:eastAsia="Arial" w:hAnsi="Arial"/>
          <w:sz w:val="18"/>
          <w:szCs w:val="18"/>
          <w:color w:val="auto"/>
        </w:rPr>
        <w:t xml:space="preserve"> or</w:t>
      </w:r>
    </w:p>
    <w:p>
      <w:pPr>
        <w:spacing w:after="0" w:line="1" w:lineRule="exact"/>
        <w:rPr>
          <w:sz w:val="24"/>
          <w:szCs w:val="24"/>
          <w:color w:val="auto"/>
        </w:rPr>
      </w:pPr>
    </w:p>
    <w:p>
      <w:pPr>
        <w:ind w:left="2160" w:right="2040" w:hanging="2152"/>
        <w:spacing w:after="0" w:line="478" w:lineRule="auto"/>
        <w:tabs>
          <w:tab w:leader="none" w:pos="18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15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0000FF"/>
        </w:rPr>
        <w:t>inTEST Corporation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its Charter)</w:t>
      </w:r>
    </w:p>
    <w:p>
      <w:pPr>
        <w:spacing w:after="0" w:line="188"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900" w:type="dxa"/>
            <w:vAlign w:val="bottom"/>
            <w:gridSpan w:val="2"/>
          </w:tcPr>
          <w:p>
            <w:pPr>
              <w:jc w:val="center"/>
              <w:ind w:right="2200"/>
              <w:spacing w:after="0"/>
              <w:rPr>
                <w:sz w:val="20"/>
                <w:szCs w:val="20"/>
                <w:color w:val="auto"/>
              </w:rPr>
            </w:pPr>
            <w:r>
              <w:rPr>
                <w:rFonts w:ascii="Arial" w:cs="Arial" w:eastAsia="Arial" w:hAnsi="Arial"/>
                <w:sz w:val="18"/>
                <w:szCs w:val="18"/>
                <w:b w:val="1"/>
                <w:bCs w:val="1"/>
                <w:color w:val="auto"/>
                <w:w w:val="88"/>
              </w:rPr>
              <w:t>Delaware</w:t>
            </w:r>
          </w:p>
        </w:tc>
        <w:tc>
          <w:tcPr>
            <w:tcW w:w="31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2"/>
        </w:trPr>
        <w:tc>
          <w:tcPr>
            <w:tcW w:w="4160" w:type="dxa"/>
            <w:vAlign w:val="bottom"/>
            <w:gridSpan w:val="3"/>
          </w:tcPr>
          <w:p>
            <w:pPr>
              <w:jc w:val="center"/>
              <w:ind w:right="940"/>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3140" w:type="dxa"/>
            <w:vAlign w:val="bottom"/>
            <w:gridSpan w:val="3"/>
          </w:tcPr>
          <w:p>
            <w:pPr>
              <w:jc w:val="center"/>
              <w:ind w:left="862"/>
              <w:spacing w:after="0"/>
              <w:rPr>
                <w:sz w:val="20"/>
                <w:szCs w:val="20"/>
                <w:color w:val="auto"/>
              </w:rPr>
            </w:pPr>
            <w:r>
              <w:rPr>
                <w:rFonts w:ascii="Arial" w:cs="Arial" w:eastAsia="Arial" w:hAnsi="Arial"/>
                <w:sz w:val="14"/>
                <w:szCs w:val="14"/>
                <w:color w:val="auto"/>
                <w:w w:val="90"/>
              </w:rPr>
              <w:t>(I.R.S. Employer Identification Number)</w:t>
            </w:r>
          </w:p>
        </w:tc>
      </w:tr>
    </w:tbl>
    <w:p>
      <w:pPr>
        <w:spacing w:after="0" w:line="202"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804 East Gate Drive, Suite 200</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2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(Registrant's Telephone Number, including Area Code)</w:t>
      </w:r>
    </w:p>
    <w:p>
      <w:pPr>
        <w:ind w:left="4960"/>
        <w:spacing w:after="0"/>
        <w:rPr>
          <w:sz w:val="20"/>
          <w:szCs w:val="20"/>
          <w:color w:val="auto"/>
        </w:rPr>
      </w:pPr>
      <w:r>
        <w:rPr>
          <w:rFonts w:ascii="Arial" w:cs="Arial" w:eastAsia="Arial" w:hAnsi="Arial"/>
          <w:sz w:val="18"/>
          <w:szCs w:val="18"/>
          <w:color w:val="auto"/>
        </w:rPr>
        <w:t>_________________</w:t>
      </w:r>
    </w:p>
    <w:p>
      <w:pPr>
        <w:spacing w:after="0" w:line="211" w:lineRule="exact"/>
        <w:rPr>
          <w:sz w:val="24"/>
          <w:szCs w:val="24"/>
          <w:color w:val="auto"/>
        </w:rPr>
      </w:pPr>
    </w:p>
    <w:p>
      <w:pPr>
        <w:jc w:val="both"/>
        <w:ind w:right="6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(SS 232.405 of this chapter) during the preceding 12 months (or for such shorter period that the registrant was required to submit and post such files).</w:t>
      </w:r>
    </w:p>
    <w:p>
      <w:pPr>
        <w:spacing w:after="0"/>
        <w:tabs>
          <w:tab w:leader="none" w:pos="800" w:val="left"/>
        </w:tabs>
        <w:rPr>
          <w:sz w:val="20"/>
          <w:szCs w:val="20"/>
          <w:color w:val="auto"/>
        </w:rPr>
      </w:pPr>
      <w:r>
        <w:rPr>
          <w:rFonts w:ascii="Arial" w:cs="Arial" w:eastAsia="Arial" w:hAnsi="Arial"/>
          <w:sz w:val="18"/>
          <w:szCs w:val="18"/>
          <w:color w:val="auto"/>
        </w:rPr>
        <w:t xml:space="preserve">YES </w:t>
      </w:r>
      <w:r>
        <w:rPr>
          <w:rFonts w:ascii="Arial" w:cs="Arial" w:eastAsia="Arial" w:hAnsi="Arial"/>
          <w:sz w:val="18"/>
          <w:szCs w:val="18"/>
          <w:u w:val="single" w:color="auto"/>
          <w:color w:val="auto"/>
        </w:rPr>
        <w:t>X</w:t>
      </w:r>
      <w:r>
        <w:rPr>
          <w:sz w:val="20"/>
          <w:szCs w:val="20"/>
          <w:color w:val="auto"/>
        </w:rPr>
        <w:tab/>
      </w:r>
      <w:r>
        <w:rPr>
          <w:rFonts w:ascii="Arial" w:cs="Arial" w:eastAsia="Arial" w:hAnsi="Arial"/>
          <w:sz w:val="15"/>
          <w:szCs w:val="15"/>
          <w:color w:val="auto"/>
        </w:rPr>
        <w:t>NO ____</w:t>
      </w:r>
    </w:p>
    <w:p>
      <w:pPr>
        <w:spacing w:after="0" w:line="219"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tbl>
      <w:tblPr>
        <w:tblLayout w:type="fixed"/>
        <w:tblInd w:w="100" w:type="dxa"/>
        <w:tblCellMar>
          <w:top w:w="0" w:type="dxa"/>
          <w:left w:w="0" w:type="dxa"/>
          <w:bottom w:w="0" w:type="dxa"/>
          <w:right w:w="0" w:type="dxa"/>
        </w:tblCellMar>
      </w:tblPr>
      <w:tr>
        <w:trPr>
          <w:trHeight w:val="222"/>
        </w:trPr>
        <w:tc>
          <w:tcPr>
            <w:tcW w:w="1600" w:type="dxa"/>
            <w:vAlign w:val="bottom"/>
          </w:tcPr>
          <w:p>
            <w:pPr>
              <w:spacing w:after="0"/>
              <w:rPr>
                <w:sz w:val="20"/>
                <w:szCs w:val="20"/>
                <w:color w:val="auto"/>
              </w:rPr>
            </w:pPr>
            <w:r>
              <w:rPr>
                <w:rFonts w:ascii="Arial" w:cs="Arial" w:eastAsia="Arial" w:hAnsi="Arial"/>
                <w:sz w:val="18"/>
                <w:szCs w:val="18"/>
                <w:color w:val="auto"/>
                <w:w w:val="88"/>
              </w:rPr>
              <w:t>Large accelerated filer</w:t>
            </w:r>
          </w:p>
        </w:tc>
        <w:tc>
          <w:tcPr>
            <w:tcW w:w="3420" w:type="dxa"/>
            <w:vAlign w:val="bottom"/>
          </w:tcPr>
          <w:p>
            <w:pPr>
              <w:jc w:val="right"/>
              <w:ind w:right="3012"/>
              <w:spacing w:after="0"/>
              <w:rPr>
                <w:sz w:val="20"/>
                <w:szCs w:val="20"/>
                <w:color w:val="auto"/>
              </w:rPr>
            </w:pPr>
            <w:r>
              <w:rPr>
                <w:rFonts w:ascii="Arial" w:cs="Arial" w:eastAsia="Arial" w:hAnsi="Arial"/>
                <w:sz w:val="18"/>
                <w:szCs w:val="18"/>
                <w:color w:val="auto"/>
                <w:w w:val="99"/>
              </w:rPr>
              <w:t>___</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rPr>
              <w:t>Accelerated filer ___</w:t>
            </w:r>
          </w:p>
        </w:tc>
      </w:tr>
      <w:tr>
        <w:trPr>
          <w:trHeight w:val="367"/>
        </w:trPr>
        <w:tc>
          <w:tcPr>
            <w:tcW w:w="1600" w:type="dxa"/>
            <w:vAlign w:val="bottom"/>
          </w:tcPr>
          <w:p>
            <w:pPr>
              <w:spacing w:after="0"/>
              <w:rPr>
                <w:sz w:val="20"/>
                <w:szCs w:val="20"/>
                <w:color w:val="auto"/>
              </w:rPr>
            </w:pPr>
            <w:r>
              <w:rPr>
                <w:rFonts w:ascii="Arial" w:cs="Arial" w:eastAsia="Arial" w:hAnsi="Arial"/>
                <w:sz w:val="18"/>
                <w:szCs w:val="18"/>
                <w:color w:val="auto"/>
                <w:w w:val="95"/>
              </w:rPr>
              <w:t>Non-accelerated filer</w:t>
            </w:r>
          </w:p>
        </w:tc>
        <w:tc>
          <w:tcPr>
            <w:tcW w:w="3420" w:type="dxa"/>
            <w:vAlign w:val="bottom"/>
          </w:tcPr>
          <w:p>
            <w:pPr>
              <w:jc w:val="right"/>
              <w:ind w:right="492"/>
              <w:spacing w:after="0"/>
              <w:rPr>
                <w:sz w:val="20"/>
                <w:szCs w:val="20"/>
                <w:color w:val="auto"/>
              </w:rPr>
            </w:pPr>
            <w:r>
              <w:rPr>
                <w:rFonts w:ascii="Arial" w:cs="Arial" w:eastAsia="Arial" w:hAnsi="Arial"/>
                <w:sz w:val="18"/>
                <w:szCs w:val="18"/>
                <w:color w:val="auto"/>
                <w:w w:val="94"/>
              </w:rPr>
              <w:t xml:space="preserve">___ </w:t>
            </w:r>
            <w:r>
              <w:rPr>
                <w:rFonts w:ascii="Arial" w:cs="Arial" w:eastAsia="Arial" w:hAnsi="Arial"/>
                <w:sz w:val="13"/>
                <w:szCs w:val="13"/>
                <w:color w:val="auto"/>
                <w:w w:val="94"/>
              </w:rPr>
              <w:t>(Do not check if a smaller reporting company)</w:t>
            </w:r>
          </w:p>
        </w:tc>
        <w:tc>
          <w:tcPr>
            <w:tcW w:w="2820" w:type="dxa"/>
            <w:vAlign w:val="bottom"/>
            <w:gridSpan w:val="2"/>
          </w:tcPr>
          <w:p>
            <w:pPr>
              <w:ind w:left="600"/>
              <w:spacing w:after="0"/>
              <w:rPr>
                <w:sz w:val="20"/>
                <w:szCs w:val="20"/>
                <w:color w:val="auto"/>
              </w:rPr>
            </w:pPr>
            <w:r>
              <w:rPr>
                <w:rFonts w:ascii="Arial" w:cs="Arial" w:eastAsia="Arial" w:hAnsi="Arial"/>
                <w:sz w:val="18"/>
                <w:szCs w:val="18"/>
                <w:color w:val="auto"/>
                <w:w w:val="94"/>
              </w:rPr>
              <w:t>Smaller reporting company X</w:t>
            </w:r>
          </w:p>
        </w:tc>
      </w:tr>
      <w:tr>
        <w:trPr>
          <w:trHeight w:val="20"/>
        </w:trPr>
        <w:tc>
          <w:tcPr>
            <w:tcW w:w="16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bl>
    <w:p>
      <w:pPr>
        <w:spacing w:after="0" w:line="28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5"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color w:val="auto"/>
        </w:rPr>
        <w:t>YES ___</w:t>
        <w:tab/>
        <w:t xml:space="preserve">NO </w:t>
      </w:r>
      <w:r>
        <w:rPr>
          <w:rFonts w:ascii="Arial" w:cs="Arial" w:eastAsia="Arial" w:hAnsi="Arial"/>
          <w:sz w:val="18"/>
          <w:szCs w:val="18"/>
          <w:u w:val="single" w:color="auto"/>
          <w:color w:val="auto"/>
        </w:rPr>
        <w:t>X</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$.01 par value, outstanding as of the close of business on July 31, 2016:</w:t>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10,389,521</w:t>
      </w:r>
    </w:p>
    <w:p>
      <w:pPr>
        <w:spacing w:after="0" w:line="185"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4"/>
          <w:szCs w:val="24"/>
          <w:color w:val="auto"/>
        </w:rPr>
      </w:pPr>
    </w:p>
    <w:p>
      <w:pPr>
        <w:spacing w:after="0" w:line="37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76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83"/>
              </w:rPr>
              <w:t>Page</w:t>
            </w:r>
          </w:p>
        </w:tc>
      </w:tr>
      <w:tr>
        <w:trPr>
          <w:trHeight w:val="302"/>
        </w:trPr>
        <w:tc>
          <w:tcPr>
            <w:tcW w:w="8400" w:type="dxa"/>
            <w:vAlign w:val="bottom"/>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4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r>
      <w:tr>
        <w:trPr>
          <w:trHeight w:val="486"/>
        </w:trPr>
        <w:tc>
          <w:tcPr>
            <w:tcW w:w="8400" w:type="dxa"/>
            <w:vAlign w:val="bottom"/>
          </w:tcPr>
          <w:p>
            <w:pPr>
              <w:ind w:left="760"/>
              <w:spacing w:after="0"/>
              <w:rPr>
                <w:sz w:val="20"/>
                <w:szCs w:val="20"/>
                <w:color w:val="auto"/>
              </w:rPr>
            </w:pPr>
            <w:r>
              <w:rPr>
                <w:rFonts w:ascii="Arial" w:cs="Arial" w:eastAsia="Arial" w:hAnsi="Arial"/>
                <w:sz w:val="18"/>
                <w:szCs w:val="18"/>
                <w:color w:val="auto"/>
              </w:rPr>
              <w:t>Consolidated Balance Sheets as of June 30, 2016 (Unaudited) and December 31, 2015</w:t>
            </w:r>
          </w:p>
        </w:tc>
        <w:tc>
          <w:tcPr>
            <w:tcW w:w="760" w:type="dxa"/>
            <w:vAlign w:val="bottom"/>
            <w:gridSpan w:val="2"/>
          </w:tcPr>
          <w:p>
            <w:pPr>
              <w:jc w:val="center"/>
              <w:ind w:left="399"/>
              <w:spacing w:after="0"/>
              <w:rPr>
                <w:sz w:val="20"/>
                <w:szCs w:val="20"/>
                <w:color w:val="auto"/>
              </w:rPr>
            </w:pPr>
            <w:r>
              <w:rPr>
                <w:rFonts w:ascii="Arial" w:cs="Arial" w:eastAsia="Arial" w:hAnsi="Arial"/>
                <w:sz w:val="18"/>
                <w:szCs w:val="18"/>
                <w:color w:val="auto"/>
                <w:w w:val="79"/>
              </w:rPr>
              <w:t>1</w:t>
            </w:r>
          </w:p>
        </w:tc>
      </w:tr>
      <w:tr>
        <w:trPr>
          <w:trHeight w:val="237"/>
        </w:trPr>
        <w:tc>
          <w:tcPr>
            <w:tcW w:w="8400" w:type="dxa"/>
            <w:vAlign w:val="bottom"/>
          </w:tcPr>
          <w:p>
            <w:pPr>
              <w:ind w:left="760"/>
              <w:spacing w:after="0"/>
              <w:rPr>
                <w:sz w:val="20"/>
                <w:szCs w:val="20"/>
                <w:color w:val="auto"/>
              </w:rPr>
            </w:pPr>
            <w:r>
              <w:rPr>
                <w:rFonts w:ascii="Arial" w:cs="Arial" w:eastAsia="Arial" w:hAnsi="Arial"/>
                <w:sz w:val="18"/>
                <w:szCs w:val="18"/>
                <w:color w:val="auto"/>
                <w:w w:val="92"/>
              </w:rPr>
              <w:t>Unaudited Consolidated Statements of Operations for the three months and six months ended June 30,</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22"/>
        </w:trPr>
        <w:tc>
          <w:tcPr>
            <w:tcW w:w="8400" w:type="dxa"/>
            <w:vAlign w:val="bottom"/>
          </w:tcPr>
          <w:p>
            <w:pPr>
              <w:ind w:left="880"/>
              <w:spacing w:after="0"/>
              <w:rPr>
                <w:sz w:val="20"/>
                <w:szCs w:val="20"/>
                <w:color w:val="auto"/>
              </w:rPr>
            </w:pPr>
            <w:r>
              <w:rPr>
                <w:rFonts w:ascii="Arial" w:cs="Arial" w:eastAsia="Arial" w:hAnsi="Arial"/>
                <w:sz w:val="18"/>
                <w:szCs w:val="18"/>
                <w:color w:val="auto"/>
              </w:rPr>
              <w:t>2016 and 2015</w:t>
            </w:r>
          </w:p>
        </w:tc>
        <w:tc>
          <w:tcPr>
            <w:tcW w:w="760" w:type="dxa"/>
            <w:vAlign w:val="bottom"/>
            <w:gridSpan w:val="2"/>
          </w:tcPr>
          <w:p>
            <w:pPr>
              <w:jc w:val="center"/>
              <w:ind w:left="399"/>
              <w:spacing w:after="0"/>
              <w:rPr>
                <w:sz w:val="20"/>
                <w:szCs w:val="20"/>
                <w:color w:val="auto"/>
              </w:rPr>
            </w:pPr>
            <w:r>
              <w:rPr>
                <w:rFonts w:ascii="Arial" w:cs="Arial" w:eastAsia="Arial" w:hAnsi="Arial"/>
                <w:sz w:val="18"/>
                <w:szCs w:val="18"/>
                <w:color w:val="auto"/>
                <w:w w:val="79"/>
              </w:rPr>
              <w:t>2</w:t>
            </w:r>
          </w:p>
        </w:tc>
      </w:tr>
    </w:tbl>
    <w:p>
      <w:pPr>
        <w:sectPr>
          <w:pgSz w:w="11900" w:h="16838" w:orient="portrait"/>
          <w:cols w:equalWidth="0" w:num="1">
            <w:col w:w="11280"/>
          </w:cols>
          <w:pgMar w:left="240" w:top="239" w:right="379" w:bottom="0" w:gutter="0" w:footer="0" w:header="0"/>
        </w:sectPr>
      </w:pPr>
    </w:p>
    <w:bookmarkStart w:id="1" w:name="page2"/>
    <w:bookmarkEnd w:id="1"/>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w w:val="93"/>
              </w:rPr>
              <w:t>Unaudited Consolidated Statements of Comprehensive Earnings for the three months and six months</w:t>
            </w:r>
          </w:p>
        </w:tc>
        <w:tc>
          <w:tcPr>
            <w:tcW w:w="960" w:type="dxa"/>
            <w:vAlign w:val="bottom"/>
          </w:tcPr>
          <w:p>
            <w:pPr>
              <w:spacing w:after="0"/>
              <w:rPr>
                <w:sz w:val="18"/>
                <w:szCs w:val="18"/>
                <w:color w:val="auto"/>
              </w:rPr>
            </w:pP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ended June 30, 2016 and 2015</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r>
      <w:tr>
        <w:trPr>
          <w:trHeight w:val="237"/>
        </w:trPr>
        <w:tc>
          <w:tcPr>
            <w:tcW w:w="72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Unaudited Consolidated Statement of Stockholders' Equity for the six months ended</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3</w:t>
            </w: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June 30, 2016</w:t>
            </w:r>
          </w:p>
        </w:tc>
        <w:tc>
          <w:tcPr>
            <w:tcW w:w="960" w:type="dxa"/>
            <w:vAlign w:val="bottom"/>
          </w:tcPr>
          <w:p>
            <w:pPr>
              <w:spacing w:after="0"/>
              <w:rPr>
                <w:sz w:val="19"/>
                <w:szCs w:val="19"/>
                <w:color w:val="auto"/>
              </w:rPr>
            </w:pPr>
          </w:p>
        </w:tc>
      </w:tr>
      <w:tr>
        <w:trPr>
          <w:trHeight w:val="237"/>
        </w:trPr>
        <w:tc>
          <w:tcPr>
            <w:tcW w:w="720" w:type="dxa"/>
            <w:vAlign w:val="bottom"/>
          </w:tcPr>
          <w:p>
            <w:pPr>
              <w:spacing w:after="0"/>
              <w:rPr>
                <w:sz w:val="20"/>
                <w:szCs w:val="20"/>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Unaudited Consolidated Statements of Cash Flows for the six months ended</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79"/>
              </w:rPr>
              <w:t>4</w:t>
            </w:r>
          </w:p>
        </w:tc>
      </w:tr>
      <w:tr>
        <w:trPr>
          <w:trHeight w:val="222"/>
        </w:trPr>
        <w:tc>
          <w:tcPr>
            <w:tcW w:w="720" w:type="dxa"/>
            <w:vAlign w:val="bottom"/>
          </w:tcPr>
          <w:p>
            <w:pPr>
              <w:spacing w:after="0"/>
              <w:rPr>
                <w:sz w:val="19"/>
                <w:szCs w:val="19"/>
                <w:color w:val="auto"/>
              </w:rPr>
            </w:pPr>
          </w:p>
        </w:tc>
        <w:tc>
          <w:tcPr>
            <w:tcW w:w="7580" w:type="dxa"/>
            <w:vAlign w:val="bottom"/>
          </w:tcPr>
          <w:p>
            <w:pPr>
              <w:ind w:left="160"/>
              <w:spacing w:after="0"/>
              <w:rPr>
                <w:sz w:val="20"/>
                <w:szCs w:val="20"/>
                <w:color w:val="auto"/>
              </w:rPr>
            </w:pPr>
            <w:r>
              <w:rPr>
                <w:rFonts w:ascii="Arial" w:cs="Arial" w:eastAsia="Arial" w:hAnsi="Arial"/>
                <w:sz w:val="18"/>
                <w:szCs w:val="18"/>
                <w:color w:val="auto"/>
              </w:rPr>
              <w:t>June 30, 2016 and 2015</w:t>
            </w:r>
          </w:p>
        </w:tc>
        <w:tc>
          <w:tcPr>
            <w:tcW w:w="960" w:type="dxa"/>
            <w:vAlign w:val="bottom"/>
          </w:tcPr>
          <w:p>
            <w:pPr>
              <w:spacing w:after="0"/>
              <w:rPr>
                <w:sz w:val="19"/>
                <w:szCs w:val="19"/>
                <w:color w:val="auto"/>
              </w:rPr>
            </w:pPr>
          </w:p>
        </w:tc>
      </w:tr>
      <w:tr>
        <w:trPr>
          <w:trHeight w:val="243"/>
        </w:trPr>
        <w:tc>
          <w:tcPr>
            <w:tcW w:w="72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960" w:type="dxa"/>
            <w:vAlign w:val="bottom"/>
          </w:tcPr>
          <w:p>
            <w:pPr>
              <w:jc w:val="center"/>
              <w:ind w:left="392"/>
              <w:spacing w:after="0"/>
              <w:rPr>
                <w:sz w:val="20"/>
                <w:szCs w:val="20"/>
                <w:color w:val="auto"/>
              </w:rPr>
            </w:pPr>
            <w:r>
              <w:rPr>
                <w:rFonts w:ascii="Arial" w:cs="Arial" w:eastAsia="Arial" w:hAnsi="Arial"/>
                <w:sz w:val="18"/>
                <w:szCs w:val="18"/>
                <w:color w:val="auto"/>
                <w:w w:val="86"/>
              </w:rPr>
              <w:t>5 - 15</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8"/>
              </w:rPr>
              <w:t>Management's Discussion and Analysis of Financial Condition and Results of Operations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16 - 23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Controls and Procedures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580" w:type="dxa"/>
            <w:vAlign w:val="bottom"/>
          </w:tcPr>
          <w:p>
            <w:pPr>
              <w:ind w:left="40"/>
              <w:spacing w:after="0"/>
              <w:rPr>
                <w:sz w:val="20"/>
                <w:szCs w:val="20"/>
                <w:color w:val="auto"/>
              </w:rPr>
            </w:pPr>
            <w:r>
              <w:rPr>
                <w:rFonts w:ascii="Arial" w:cs="Arial" w:eastAsia="Arial" w:hAnsi="Arial"/>
                <w:sz w:val="18"/>
                <w:szCs w:val="18"/>
                <w:b w:val="1"/>
                <w:bCs w:val="1"/>
                <w:color w:val="auto"/>
              </w:rPr>
              <w:t>OTHER INFORMATION</w:t>
            </w:r>
          </w:p>
        </w:tc>
        <w:tc>
          <w:tcPr>
            <w:tcW w:w="960" w:type="dxa"/>
            <w:vAlign w:val="bottom"/>
          </w:tcPr>
          <w:p>
            <w:pPr>
              <w:spacing w:after="0"/>
              <w:rPr>
                <w:sz w:val="24"/>
                <w:szCs w:val="24"/>
                <w:color w:val="auto"/>
              </w:rPr>
            </w:pP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Legal Proceedings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23</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w w:val="99"/>
              </w:rPr>
              <w:t>Item 1A.</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Risk Factors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Mine Safety Disclosures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Information</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24</w:t>
            </w:r>
          </w:p>
        </w:tc>
      </w:tr>
      <w:tr>
        <w:trPr>
          <w:trHeight w:val="486"/>
        </w:trPr>
        <w:tc>
          <w:tcPr>
            <w:tcW w:w="72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75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Exhibits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24</w:t>
            </w:r>
          </w:p>
        </w:tc>
      </w:tr>
      <w:tr>
        <w:trPr>
          <w:trHeight w:val="486"/>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25</w:t>
            </w:r>
          </w:p>
        </w:tc>
      </w:tr>
      <w:tr>
        <w:trPr>
          <w:trHeight w:val="486"/>
        </w:trPr>
        <w:tc>
          <w:tcPr>
            <w:tcW w:w="8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960" w:type="dxa"/>
            <w:vAlign w:val="bottom"/>
          </w:tcPr>
          <w:p>
            <w:pPr>
              <w:jc w:val="center"/>
              <w:ind w:left="372"/>
              <w:spacing w:after="0"/>
              <w:rPr>
                <w:sz w:val="20"/>
                <w:szCs w:val="20"/>
                <w:color w:val="auto"/>
              </w:rPr>
            </w:pPr>
            <w:r>
              <w:rPr>
                <w:rFonts w:ascii="Arial" w:cs="Arial" w:eastAsia="Arial" w:hAnsi="Arial"/>
                <w:sz w:val="18"/>
                <w:szCs w:val="18"/>
                <w:color w:val="auto"/>
                <w:w w:val="89"/>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gridSpan w:val="4"/>
          </w:tcPr>
          <w:p>
            <w:pPr>
              <w:jc w:val="center"/>
              <w:ind w:left="299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2"/>
        </w:trPr>
        <w:tc>
          <w:tcPr>
            <w:tcW w:w="68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9"/>
        </w:trPr>
        <w:tc>
          <w:tcPr>
            <w:tcW w:w="6880" w:type="dxa"/>
            <w:vAlign w:val="bottom"/>
          </w:tcPr>
          <w:p>
            <w:pPr>
              <w:jc w:val="center"/>
              <w:ind w:left="4472"/>
              <w:spacing w:after="0"/>
              <w:rPr>
                <w:sz w:val="20"/>
                <w:szCs w:val="20"/>
                <w:color w:val="auto"/>
              </w:rPr>
            </w:pPr>
            <w:r>
              <w:rPr>
                <w:rFonts w:ascii="Arial" w:cs="Arial" w:eastAsia="Arial" w:hAnsi="Arial"/>
                <w:sz w:val="18"/>
                <w:szCs w:val="18"/>
                <w:b w:val="1"/>
                <w:bCs w:val="1"/>
                <w:color w:val="auto"/>
                <w:w w:val="96"/>
              </w:rPr>
              <w:t>inTEST CORPORATION</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b w:val="1"/>
                <w:bCs w:val="1"/>
                <w:color w:val="auto"/>
                <w:w w:val="96"/>
              </w:rPr>
              <w:t>CONSOLIDATED BALANCE SHEETS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8340" w:type="dxa"/>
            <w:vAlign w:val="bottom"/>
            <w:gridSpan w:val="4"/>
          </w:tcPr>
          <w:p>
            <w:pPr>
              <w:jc w:val="center"/>
              <w:ind w:left="3012"/>
              <w:spacing w:after="0"/>
              <w:rPr>
                <w:sz w:val="20"/>
                <w:szCs w:val="20"/>
                <w:color w:val="auto"/>
              </w:rPr>
            </w:pPr>
            <w:r>
              <w:rPr>
                <w:rFonts w:ascii="Arial" w:cs="Arial" w:eastAsia="Arial" w:hAnsi="Arial"/>
                <w:sz w:val="18"/>
                <w:szCs w:val="18"/>
                <w:color w:val="auto"/>
                <w:w w:val="85"/>
              </w:rPr>
              <w:t>(In thousands, except share and per share data)</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6880" w:type="dxa"/>
            <w:vAlign w:val="bottom"/>
          </w:tcPr>
          <w:p>
            <w:pPr>
              <w:spacing w:after="0"/>
              <w:rPr>
                <w:sz w:val="24"/>
                <w:szCs w:val="24"/>
                <w:color w:val="auto"/>
              </w:rPr>
            </w:pPr>
          </w:p>
        </w:tc>
        <w:tc>
          <w:tcPr>
            <w:tcW w:w="1460" w:type="dxa"/>
            <w:vAlign w:val="bottom"/>
            <w:gridSpan w:val="3"/>
          </w:tcPr>
          <w:p>
            <w:pPr>
              <w:jc w:val="right"/>
              <w:ind w:right="220"/>
              <w:spacing w:after="0"/>
              <w:rPr>
                <w:sz w:val="20"/>
                <w:szCs w:val="20"/>
                <w:color w:val="auto"/>
              </w:rPr>
            </w:pPr>
            <w:r>
              <w:rPr>
                <w:rFonts w:ascii="Courier New" w:cs="Courier New" w:eastAsia="Courier New" w:hAnsi="Courier New"/>
                <w:sz w:val="18"/>
                <w:szCs w:val="18"/>
                <w:color w:val="auto"/>
              </w:rPr>
              <w:t>June 30,</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320" w:type="dxa"/>
            <w:vAlign w:val="bottom"/>
          </w:tcPr>
          <w:p>
            <w:pPr>
              <w:spacing w:after="0"/>
              <w:rPr>
                <w:sz w:val="17"/>
                <w:szCs w:val="17"/>
                <w:color w:val="auto"/>
              </w:rPr>
            </w:pP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c>
          <w:tcPr>
            <w:tcW w:w="100" w:type="dxa"/>
            <w:vAlign w:val="bottom"/>
          </w:tcPr>
          <w:p>
            <w:pPr>
              <w:spacing w:after="0"/>
              <w:rPr>
                <w:sz w:val="17"/>
                <w:szCs w:val="17"/>
                <w:color w:val="auto"/>
              </w:rPr>
            </w:pPr>
          </w:p>
        </w:tc>
      </w:tr>
      <w:tr>
        <w:trPr>
          <w:trHeight w:val="203"/>
        </w:trPr>
        <w:tc>
          <w:tcPr>
            <w:tcW w:w="6880" w:type="dxa"/>
            <w:vAlign w:val="bottom"/>
          </w:tcPr>
          <w:p>
            <w:pPr>
              <w:spacing w:after="0"/>
              <w:rPr>
                <w:sz w:val="17"/>
                <w:szCs w:val="17"/>
                <w:color w:val="auto"/>
              </w:rPr>
            </w:pPr>
          </w:p>
        </w:tc>
        <w:tc>
          <w:tcPr>
            <w:tcW w:w="1460" w:type="dxa"/>
            <w:vAlign w:val="bottom"/>
            <w:gridSpan w:val="3"/>
          </w:tcPr>
          <w:p>
            <w:pPr>
              <w:jc w:val="right"/>
              <w:ind w:right="22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460" w:type="dxa"/>
            <w:vAlign w:val="bottom"/>
            <w:gridSpan w:val="3"/>
          </w:tcPr>
          <w:p>
            <w:pPr>
              <w:jc w:val="right"/>
              <w:ind w:right="120"/>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$25,003</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$25,710</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 doubtful</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of $146 and $146, respectively</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6,741</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4,395</w:t>
            </w: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3,314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3,520</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296</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639</w:t>
            </w:r>
          </w:p>
        </w:tc>
        <w:tc>
          <w:tcPr>
            <w:tcW w:w="100" w:type="dxa"/>
            <w:vAlign w:val="bottom"/>
          </w:tcPr>
          <w:p>
            <w:pPr>
              <w:spacing w:after="0"/>
              <w:rPr>
                <w:sz w:val="14"/>
                <w:szCs w:val="14"/>
                <w:color w:val="auto"/>
              </w:rPr>
            </w:pP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114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35,354</w:t>
            </w:r>
          </w:p>
        </w:tc>
        <w:tc>
          <w:tcPr>
            <w:tcW w:w="320" w:type="dxa"/>
            <w:vAlign w:val="bottom"/>
          </w:tcPr>
          <w:p>
            <w:pPr>
              <w:spacing w:after="0"/>
              <w:rPr>
                <w:sz w:val="15"/>
                <w:szCs w:val="15"/>
                <w:color w:val="auto"/>
              </w:rPr>
            </w:pPr>
          </w:p>
        </w:tc>
        <w:tc>
          <w:tcPr>
            <w:tcW w:w="94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34,264</w:t>
            </w: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4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4,337</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4,377</w:t>
            </w:r>
          </w:p>
        </w:tc>
        <w:tc>
          <w:tcPr>
            <w:tcW w:w="100" w:type="dxa"/>
            <w:vAlign w:val="bottom"/>
          </w:tcPr>
          <w:p>
            <w:pPr>
              <w:spacing w:after="0"/>
              <w:rPr>
                <w:sz w:val="17"/>
                <w:szCs w:val="17"/>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4,940</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4,980</w:t>
            </w:r>
          </w:p>
        </w:tc>
        <w:tc>
          <w:tcPr>
            <w:tcW w:w="100" w:type="dxa"/>
            <w:vAlign w:val="bottom"/>
          </w:tcPr>
          <w:p>
            <w:pPr>
              <w:spacing w:after="0"/>
              <w:rPr>
                <w:sz w:val="19"/>
                <w:szCs w:val="19"/>
                <w:color w:val="auto"/>
              </w:rPr>
            </w:pPr>
          </w:p>
        </w:tc>
      </w:tr>
      <w:tr>
        <w:trPr>
          <w:trHeight w:val="164"/>
        </w:trPr>
        <w:tc>
          <w:tcPr>
            <w:tcW w:w="688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line="164" w:lineRule="exact"/>
              <w:rPr>
                <w:sz w:val="20"/>
                <w:szCs w:val="20"/>
                <w:color w:val="auto"/>
              </w:rPr>
            </w:pPr>
            <w:r>
              <w:rPr>
                <w:rFonts w:ascii="Courier New" w:cs="Courier New" w:eastAsia="Courier New" w:hAnsi="Courier New"/>
                <w:sz w:val="18"/>
                <w:szCs w:val="18"/>
                <w:color w:val="auto"/>
              </w:rPr>
              <w:t>(3,963)</w:t>
            </w:r>
          </w:p>
        </w:tc>
        <w:tc>
          <w:tcPr>
            <w:tcW w:w="94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(3,868)</w:t>
            </w:r>
          </w:p>
        </w:tc>
      </w:tr>
      <w:tr>
        <w:trPr>
          <w:trHeight w:val="183"/>
        </w:trPr>
        <w:tc>
          <w:tcPr>
            <w:tcW w:w="688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4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977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1,112</w:t>
            </w:r>
          </w:p>
        </w:tc>
        <w:tc>
          <w:tcPr>
            <w:tcW w:w="100" w:type="dxa"/>
            <w:vAlign w:val="bottom"/>
          </w:tcPr>
          <w:p>
            <w:pPr>
              <w:spacing w:after="0"/>
              <w:rPr>
                <w:sz w:val="15"/>
                <w:szCs w:val="15"/>
                <w:color w:val="auto"/>
              </w:rPr>
            </w:pPr>
          </w:p>
        </w:tc>
      </w:tr>
      <w:tr>
        <w:trPr>
          <w:trHeight w:val="221"/>
        </w:trPr>
        <w:tc>
          <w:tcPr>
            <w:tcW w:w="688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1,143</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1,245</w:t>
            </w:r>
          </w:p>
        </w:tc>
        <w:tc>
          <w:tcPr>
            <w:tcW w:w="100" w:type="dxa"/>
            <w:vAlign w:val="bottom"/>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988</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1,104</w:t>
            </w:r>
          </w:p>
        </w:tc>
        <w:tc>
          <w:tcPr>
            <w:tcW w:w="100" w:type="dxa"/>
            <w:vAlign w:val="bottom"/>
          </w:tcPr>
          <w:p>
            <w:pPr>
              <w:spacing w:after="0"/>
              <w:rPr>
                <w:sz w:val="17"/>
                <w:szCs w:val="17"/>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225</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00" w:type="dxa"/>
            <w:vAlign w:val="bottom"/>
          </w:tcPr>
          <w:p>
            <w:pPr>
              <w:spacing w:after="0"/>
              <w:rPr>
                <w:sz w:val="17"/>
                <w:szCs w:val="17"/>
                <w:color w:val="auto"/>
              </w:rPr>
            </w:pPr>
          </w:p>
        </w:tc>
      </w:tr>
      <w:tr>
        <w:trPr>
          <w:trHeight w:val="164"/>
        </w:trPr>
        <w:tc>
          <w:tcPr>
            <w:tcW w:w="688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4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214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203</w:t>
            </w:r>
          </w:p>
        </w:tc>
        <w:tc>
          <w:tcPr>
            <w:tcW w:w="100" w:type="dxa"/>
            <w:vAlign w:val="bottom"/>
          </w:tcPr>
          <w:p>
            <w:pPr>
              <w:spacing w:after="0"/>
              <w:rPr>
                <w:sz w:val="14"/>
                <w:szCs w:val="14"/>
                <w:color w:val="auto"/>
              </w:rPr>
            </w:pPr>
          </w:p>
        </w:tc>
      </w:tr>
      <w:tr>
        <w:trPr>
          <w:trHeight w:val="221"/>
        </w:trPr>
        <w:tc>
          <w:tcPr>
            <w:tcW w:w="688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$40,607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00" w:type="dxa"/>
            <w:vAlign w:val="bottom"/>
          </w:tcPr>
          <w:p>
            <w:pPr>
              <w:spacing w:after="0"/>
              <w:rPr>
                <w:sz w:val="19"/>
                <w:szCs w:val="19"/>
                <w:color w:val="auto"/>
              </w:rPr>
            </w:pPr>
          </w:p>
        </w:tc>
      </w:tr>
      <w:tr>
        <w:trPr>
          <w:trHeight w:val="203"/>
        </w:trPr>
        <w:tc>
          <w:tcPr>
            <w:tcW w:w="6880" w:type="dxa"/>
            <w:vAlign w:val="bottom"/>
          </w:tcPr>
          <w:p>
            <w:pPr>
              <w:spacing w:after="0"/>
              <w:rPr>
                <w:sz w:val="17"/>
                <w:szCs w:val="17"/>
                <w:color w:val="auto"/>
              </w:rPr>
            </w:pP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405"/>
        </w:trPr>
        <w:tc>
          <w:tcPr>
            <w:tcW w:w="688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68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$ 1,474</w:t>
            </w:r>
          </w:p>
        </w:tc>
        <w:tc>
          <w:tcPr>
            <w:tcW w:w="32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w:t>
            </w:r>
          </w:p>
        </w:tc>
        <w:tc>
          <w:tcPr>
            <w:tcW w:w="100" w:type="dxa"/>
            <w:vAlign w:val="bottom"/>
          </w:tcPr>
          <w:p>
            <w:pPr>
              <w:spacing w:after="0"/>
              <w:rPr>
                <w:sz w:val="17"/>
                <w:szCs w:val="17"/>
                <w:color w:val="auto"/>
              </w:rPr>
            </w:pPr>
          </w:p>
        </w:tc>
      </w:tr>
    </w:tbl>
    <w:p>
      <w:pPr>
        <w:sectPr>
          <w:pgSz w:w="11900" w:h="16895" w:orient="portrait"/>
          <w:cols w:equalWidth="0" w:num="1">
            <w:col w:w="10219"/>
          </w:cols>
          <w:pgMar w:left="240" w:top="131"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tcPr>
          <w:p>
            <w:pPr>
              <w:ind w:left="220"/>
              <w:spacing w:after="0"/>
              <w:rPr>
                <w:sz w:val="20"/>
                <w:szCs w:val="20"/>
                <w:color w:val="auto"/>
              </w:rPr>
            </w:pPr>
            <w:r>
              <w:rPr>
                <w:rFonts w:ascii="Courier New" w:cs="Courier New" w:eastAsia="Courier New" w:hAnsi="Courier New"/>
                <w:sz w:val="18"/>
                <w:szCs w:val="18"/>
                <w:color w:val="auto"/>
              </w:rPr>
              <w:t>Accrued wages and benefits</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1,426</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1,466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578</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657</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494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390</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304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4" w:lineRule="exact"/>
              <w:rPr>
                <w:sz w:val="20"/>
                <w:szCs w:val="20"/>
                <w:color w:val="auto"/>
              </w:rPr>
            </w:pPr>
            <w:r>
              <w:rPr>
                <w:rFonts w:ascii="Courier New" w:cs="Courier New" w:eastAsia="Courier New" w:hAnsi="Courier New"/>
                <w:sz w:val="18"/>
                <w:szCs w:val="18"/>
                <w:color w:val="auto"/>
              </w:rPr>
              <w:t>367</w:t>
            </w:r>
          </w:p>
        </w:tc>
        <w:tc>
          <w:tcPr>
            <w:tcW w:w="100" w:type="dxa"/>
            <w:vAlign w:val="bottom"/>
          </w:tcPr>
          <w:p>
            <w:pPr>
              <w:spacing w:after="0"/>
              <w:rPr>
                <w:sz w:val="14"/>
                <w:szCs w:val="14"/>
                <w:color w:val="auto"/>
              </w:rPr>
            </w:pP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960" w:type="dxa"/>
            <w:vAlign w:val="bottom"/>
            <w:gridSpan w:val="2"/>
          </w:tcPr>
          <w:p>
            <w:pPr>
              <w:jc w:val="right"/>
              <w:spacing w:after="0" w:line="182" w:lineRule="exact"/>
              <w:rPr>
                <w:sz w:val="20"/>
                <w:szCs w:val="20"/>
                <w:color w:val="auto"/>
              </w:rPr>
            </w:pPr>
            <w:r>
              <w:rPr>
                <w:rFonts w:ascii="Courier New" w:cs="Courier New" w:eastAsia="Courier New" w:hAnsi="Courier New"/>
                <w:sz w:val="18"/>
                <w:szCs w:val="18"/>
                <w:color w:val="auto"/>
              </w:rPr>
              <w:t>4,666</w:t>
            </w:r>
          </w:p>
        </w:tc>
        <w:tc>
          <w:tcPr>
            <w:tcW w:w="260" w:type="dxa"/>
            <w:vAlign w:val="bottom"/>
          </w:tcPr>
          <w:p>
            <w:pPr>
              <w:spacing w:after="0"/>
              <w:rPr>
                <w:sz w:val="15"/>
                <w:szCs w:val="15"/>
                <w:color w:val="auto"/>
              </w:rPr>
            </w:pPr>
          </w:p>
        </w:tc>
        <w:tc>
          <w:tcPr>
            <w:tcW w:w="1000" w:type="dxa"/>
            <w:vAlign w:val="bottom"/>
            <w:gridSpan w:val="3"/>
          </w:tcPr>
          <w:p>
            <w:pPr>
              <w:jc w:val="right"/>
              <w:ind w:right="100"/>
              <w:spacing w:after="0" w:line="182" w:lineRule="exact"/>
              <w:rPr>
                <w:sz w:val="20"/>
                <w:szCs w:val="20"/>
                <w:color w:val="auto"/>
              </w:rPr>
            </w:pPr>
            <w:r>
              <w:rPr>
                <w:rFonts w:ascii="Courier New" w:cs="Courier New" w:eastAsia="Courier New" w:hAnsi="Courier New"/>
                <w:sz w:val="18"/>
                <w:szCs w:val="18"/>
                <w:color w:val="auto"/>
              </w:rPr>
              <w:t>4,059</w:t>
            </w:r>
          </w:p>
        </w:tc>
      </w:tr>
      <w:tr>
        <w:trPr>
          <w:trHeight w:val="424"/>
        </w:trPr>
        <w:tc>
          <w:tcPr>
            <w:tcW w:w="70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7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10,422,598 and 10,549,423 shares issued, respectively</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25,695</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26,286</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9,580</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9,013</w:t>
            </w:r>
          </w:p>
        </w:tc>
        <w:tc>
          <w:tcPr>
            <w:tcW w:w="100" w:type="dxa"/>
            <w:vAlign w:val="bottom"/>
          </w:tcPr>
          <w:p>
            <w:pPr>
              <w:spacing w:after="0"/>
              <w:rPr>
                <w:sz w:val="17"/>
                <w:szCs w:val="17"/>
                <w:color w:val="auto"/>
              </w:rPr>
            </w:pPr>
          </w:p>
        </w:tc>
      </w:tr>
      <w:tr>
        <w:trPr>
          <w:trHeight w:val="203"/>
        </w:trPr>
        <w:tc>
          <w:tcPr>
            <w:tcW w:w="7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766</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725</w:t>
            </w:r>
          </w:p>
        </w:tc>
        <w:tc>
          <w:tcPr>
            <w:tcW w:w="100" w:type="dxa"/>
            <w:vAlign w:val="bottom"/>
          </w:tcPr>
          <w:p>
            <w:pPr>
              <w:spacing w:after="0"/>
              <w:rPr>
                <w:sz w:val="17"/>
                <w:szCs w:val="17"/>
                <w:color w:val="auto"/>
              </w:rPr>
            </w:pPr>
          </w:p>
        </w:tc>
      </w:tr>
      <w:tr>
        <w:trPr>
          <w:trHeight w:val="164"/>
        </w:trPr>
        <w:tc>
          <w:tcPr>
            <w:tcW w:w="70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183"/>
        </w:trPr>
        <w:tc>
          <w:tcPr>
            <w:tcW w:w="70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35,941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35,925</w:t>
            </w:r>
          </w:p>
        </w:tc>
        <w:tc>
          <w:tcPr>
            <w:tcW w:w="100" w:type="dxa"/>
            <w:vAlign w:val="bottom"/>
          </w:tcPr>
          <w:p>
            <w:pPr>
              <w:spacing w:after="0"/>
              <w:rPr>
                <w:sz w:val="15"/>
                <w:szCs w:val="15"/>
                <w:color w:val="auto"/>
              </w:rPr>
            </w:pPr>
          </w:p>
        </w:tc>
      </w:tr>
      <w:tr>
        <w:trPr>
          <w:trHeight w:val="221"/>
        </w:trPr>
        <w:tc>
          <w:tcPr>
            <w:tcW w:w="70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$40,607</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00" w:type="dxa"/>
            <w:vAlign w:val="bottom"/>
          </w:tcPr>
          <w:p>
            <w:pPr>
              <w:spacing w:after="0"/>
              <w:rPr>
                <w:sz w:val="19"/>
                <w:szCs w:val="19"/>
                <w:color w:val="auto"/>
              </w:rPr>
            </w:pPr>
          </w:p>
        </w:tc>
      </w:tr>
      <w:tr>
        <w:trPr>
          <w:trHeight w:val="203"/>
        </w:trPr>
        <w:tc>
          <w:tcPr>
            <w:tcW w:w="70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bl>
    <w:p>
      <w:pPr>
        <w:spacing w:after="0" w:line="16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258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c>
          <w:tcPr>
            <w:tcW w:w="320" w:type="dxa"/>
            <w:vAlign w:val="bottom"/>
          </w:tcPr>
          <w:p>
            <w:pPr>
              <w:spacing w:after="0"/>
              <w:rPr>
                <w:sz w:val="17"/>
                <w:szCs w:val="17"/>
                <w:color w:val="auto"/>
              </w:rPr>
            </w:pPr>
          </w:p>
        </w:tc>
        <w:tc>
          <w:tcPr>
            <w:tcW w:w="18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6"/>
              </w:rPr>
              <w:t>Six Months Ended</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June 30,</w:t>
            </w:r>
          </w:p>
        </w:tc>
        <w:tc>
          <w:tcPr>
            <w:tcW w:w="320" w:type="dxa"/>
            <w:vAlign w:val="bottom"/>
          </w:tcPr>
          <w:p>
            <w:pPr>
              <w:spacing w:after="0"/>
              <w:rPr>
                <w:sz w:val="17"/>
                <w:szCs w:val="17"/>
                <w:color w:val="auto"/>
              </w:rPr>
            </w:pPr>
          </w:p>
        </w:tc>
        <w:tc>
          <w:tcPr>
            <w:tcW w:w="18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258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2016</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c>
          <w:tcPr>
            <w:tcW w:w="32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revenues</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$10,485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$11,559</w:t>
            </w:r>
          </w:p>
        </w:tc>
        <w:tc>
          <w:tcPr>
            <w:tcW w:w="116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$19,132</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$21,747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revenues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5,156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5,713</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9,736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10,983</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Gross margin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5,329</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5,846</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9,396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10,764</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1,471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1,592</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3,079</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1,047</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1,989</w:t>
            </w: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and administrative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2,145</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1,569</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3,790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3,376</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4,208</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8,569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8,444</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731</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1,638</w:t>
            </w:r>
          </w:p>
        </w:tc>
        <w:tc>
          <w:tcPr>
            <w:tcW w:w="32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827</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2,320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749</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1,659</w:t>
            </w:r>
          </w:p>
        </w:tc>
        <w:tc>
          <w:tcPr>
            <w:tcW w:w="32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873</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2,330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expense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263</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579</w:t>
            </w:r>
          </w:p>
        </w:tc>
        <w:tc>
          <w:tcPr>
            <w:tcW w:w="3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earnings</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486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$ 1,080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$ 1,518</w:t>
            </w:r>
          </w:p>
        </w:tc>
      </w:tr>
      <w:tr>
        <w:trPr>
          <w:trHeight w:val="203"/>
        </w:trPr>
        <w:tc>
          <w:tcPr>
            <w:tcW w:w="4480" w:type="dxa"/>
            <w:vAlign w:val="bottom"/>
          </w:tcPr>
          <w:p>
            <w:pPr>
              <w:spacing w:after="0"/>
              <w:rPr>
                <w:sz w:val="17"/>
                <w:szCs w:val="17"/>
                <w:color w:val="auto"/>
              </w:rPr>
            </w:pP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$0.10</w:t>
            </w:r>
          </w:p>
        </w:tc>
        <w:tc>
          <w:tcPr>
            <w:tcW w:w="32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$0.15</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 - basic</w:t>
            </w:r>
          </w:p>
        </w:tc>
        <w:tc>
          <w:tcPr>
            <w:tcW w:w="4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10,295,836 10,471,888 10,342,919 10,468,651</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$0.10</w:t>
            </w:r>
          </w:p>
        </w:tc>
        <w:tc>
          <w:tcPr>
            <w:tcW w:w="320" w:type="dxa"/>
            <w:vAlign w:val="bottom"/>
          </w:tcPr>
          <w:p>
            <w:pPr>
              <w:spacing w:after="0"/>
              <w:rPr>
                <w:sz w:val="24"/>
                <w:szCs w:val="24"/>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$0.05</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$0.14</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 equivalents outstanding - diluted</w:t>
            </w:r>
          </w:p>
        </w:tc>
        <w:tc>
          <w:tcPr>
            <w:tcW w:w="470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10,310,692 10,494,457 10,357,468 10,489,020</w:t>
            </w:r>
          </w:p>
        </w:tc>
      </w:tr>
    </w:tbl>
    <w:p>
      <w:pPr>
        <w:sectPr>
          <w:pgSz w:w="11900" w:h="16838" w:orient="portrait"/>
          <w:cols w:equalWidth="0" w:num="1">
            <w:col w:w="10219"/>
          </w:cols>
          <w:pgMar w:left="240" w:top="136" w:right="1440" w:bottom="943"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gridSpan w:val="7"/>
          </w:tcPr>
          <w:p>
            <w:pPr>
              <w:jc w:val="center"/>
              <w:ind w:left="281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432"/>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jc w:val="center"/>
              <w:ind w:right="492"/>
              <w:spacing w:after="0"/>
              <w:rPr>
                <w:sz w:val="20"/>
                <w:szCs w:val="20"/>
                <w:color w:val="auto"/>
              </w:rPr>
            </w:pPr>
            <w:r>
              <w:rPr>
                <w:rFonts w:ascii="Arial" w:cs="Arial" w:eastAsia="Arial" w:hAnsi="Arial"/>
                <w:sz w:val="18"/>
                <w:szCs w:val="18"/>
                <w:color w:val="auto"/>
                <w:w w:val="93"/>
              </w:rPr>
              <w:t>- 2 -</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71"/>
        </w:trPr>
        <w:tc>
          <w:tcPr>
            <w:tcW w:w="4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6"/>
              </w:rPr>
              <w:t>inTEST CORPORATION</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2"/>
        </w:trPr>
        <w:tc>
          <w:tcPr>
            <w:tcW w:w="8540" w:type="dxa"/>
            <w:vAlign w:val="bottom"/>
            <w:gridSpan w:val="7"/>
          </w:tcPr>
          <w:p>
            <w:pPr>
              <w:jc w:val="center"/>
              <w:ind w:left="279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16"/>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left="212"/>
              <w:spacing w:after="0"/>
              <w:rPr>
                <w:sz w:val="20"/>
                <w:szCs w:val="20"/>
                <w:color w:val="auto"/>
              </w:rPr>
            </w:pPr>
            <w:r>
              <w:rPr>
                <w:rFonts w:ascii="Arial" w:cs="Arial" w:eastAsia="Arial" w:hAnsi="Arial"/>
                <w:sz w:val="18"/>
                <w:szCs w:val="18"/>
                <w:color w:val="auto"/>
                <w:w w:val="88"/>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2"/>
        </w:trPr>
        <w:tc>
          <w:tcPr>
            <w:tcW w:w="4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gridSpan w:val="2"/>
          </w:tcPr>
          <w:p>
            <w:pPr>
              <w:jc w:val="center"/>
              <w:ind w:left="212"/>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783"/>
        </w:trPr>
        <w:tc>
          <w:tcPr>
            <w:tcW w:w="4320" w:type="dxa"/>
            <w:vAlign w:val="bottom"/>
          </w:tcPr>
          <w:p>
            <w:pPr>
              <w:spacing w:after="0"/>
              <w:rPr>
                <w:sz w:val="24"/>
                <w:szCs w:val="24"/>
                <w:color w:val="auto"/>
              </w:rPr>
            </w:pPr>
          </w:p>
        </w:tc>
        <w:tc>
          <w:tcPr>
            <w:tcW w:w="2160" w:type="dxa"/>
            <w:vAlign w:val="bottom"/>
            <w:gridSpan w:val="3"/>
          </w:tcPr>
          <w:p>
            <w:pPr>
              <w:jc w:val="right"/>
              <w:ind w:right="72"/>
              <w:spacing w:after="0"/>
              <w:rPr>
                <w:sz w:val="20"/>
                <w:szCs w:val="20"/>
                <w:color w:val="auto"/>
              </w:rPr>
            </w:pPr>
            <w:r>
              <w:rPr>
                <w:rFonts w:ascii="Courier New" w:cs="Courier New" w:eastAsia="Courier New" w:hAnsi="Courier New"/>
                <w:sz w:val="18"/>
                <w:szCs w:val="18"/>
                <w:color w:val="auto"/>
              </w:rPr>
              <w:t>Three Months Ended</w:t>
            </w:r>
          </w:p>
        </w:tc>
        <w:tc>
          <w:tcPr>
            <w:tcW w:w="20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June</w:t>
            </w:r>
          </w:p>
        </w:tc>
        <w:tc>
          <w:tcPr>
            <w:tcW w:w="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4320" w:type="dxa"/>
            <w:vAlign w:val="bottom"/>
          </w:tcPr>
          <w:p>
            <w:pPr>
              <w:spacing w:after="0"/>
              <w:rPr>
                <w:sz w:val="17"/>
                <w:szCs w:val="17"/>
                <w:color w:val="auto"/>
              </w:rPr>
            </w:pPr>
          </w:p>
        </w:tc>
        <w:tc>
          <w:tcPr>
            <w:tcW w:w="2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2"/>
              </w:rPr>
              <w:t>2016</w:t>
            </w:r>
          </w:p>
        </w:tc>
        <w:tc>
          <w:tcPr>
            <w:tcW w:w="9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2015</w:t>
            </w:r>
          </w:p>
        </w:tc>
        <w:tc>
          <w:tcPr>
            <w:tcW w:w="260" w:type="dxa"/>
            <w:vAlign w:val="bottom"/>
          </w:tcPr>
          <w:p>
            <w:pPr>
              <w:spacing w:after="0"/>
              <w:rPr>
                <w:sz w:val="17"/>
                <w:szCs w:val="17"/>
                <w:color w:val="auto"/>
              </w:rPr>
            </w:pPr>
          </w:p>
        </w:tc>
        <w:tc>
          <w:tcPr>
            <w:tcW w:w="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2016</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320" w:type="dxa"/>
            <w:vAlign w:val="bottom"/>
          </w:tcPr>
          <w:p>
            <w:pPr>
              <w:spacing w:after="0"/>
              <w:rPr>
                <w:sz w:val="17"/>
                <w:szCs w:val="17"/>
                <w:color w:val="auto"/>
              </w:rPr>
            </w:pPr>
          </w:p>
        </w:tc>
        <w:tc>
          <w:tcPr>
            <w:tcW w:w="1200" w:type="dxa"/>
            <w:vAlign w:val="bottom"/>
            <w:gridSpan w:val="2"/>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Net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52"/>
              <w:spacing w:after="0"/>
              <w:rPr>
                <w:sz w:val="20"/>
                <w:szCs w:val="20"/>
                <w:color w:val="auto"/>
              </w:rPr>
            </w:pPr>
            <w:r>
              <w:rPr>
                <w:rFonts w:ascii="Courier New" w:cs="Courier New" w:eastAsia="Courier New" w:hAnsi="Courier New"/>
                <w:sz w:val="18"/>
                <w:szCs w:val="18"/>
                <w:color w:val="auto"/>
              </w:rPr>
              <w:t>486</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$ 1,080</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567</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$ 1,518</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w w:val="99"/>
              </w:rPr>
              <w:t>Foreign currency translation adjustments</w:t>
            </w:r>
          </w:p>
        </w:tc>
        <w:tc>
          <w:tcPr>
            <w:tcW w:w="320" w:type="dxa"/>
            <w:vAlign w:val="bottom"/>
          </w:tcPr>
          <w:p>
            <w:pPr>
              <w:spacing w:after="0"/>
              <w:rPr>
                <w:sz w:val="24"/>
                <w:szCs w:val="24"/>
                <w:color w:val="auto"/>
              </w:rPr>
            </w:pPr>
          </w:p>
        </w:tc>
        <w:tc>
          <w:tcPr>
            <w:tcW w:w="880" w:type="dxa"/>
            <w:vAlign w:val="bottom"/>
          </w:tcPr>
          <w:p>
            <w:pPr>
              <w:jc w:val="right"/>
              <w:ind w:right="52"/>
              <w:spacing w:after="0"/>
              <w:rPr>
                <w:sz w:val="20"/>
                <w:szCs w:val="20"/>
                <w:color w:val="auto"/>
              </w:rPr>
            </w:pPr>
            <w:r>
              <w:rPr>
                <w:rFonts w:ascii="Courier New" w:cs="Courier New" w:eastAsia="Courier New" w:hAnsi="Courier New"/>
                <w:sz w:val="18"/>
                <w:szCs w:val="18"/>
                <w:color w:val="auto"/>
              </w:rPr>
              <w:t>(67)</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104</w:t>
            </w:r>
          </w:p>
        </w:tc>
        <w:tc>
          <w:tcPr>
            <w:tcW w:w="260" w:type="dxa"/>
            <w:vAlign w:val="bottom"/>
          </w:tcPr>
          <w:p>
            <w:pPr>
              <w:spacing w:after="0"/>
              <w:rPr>
                <w:sz w:val="24"/>
                <w:szCs w:val="24"/>
                <w:color w:val="auto"/>
              </w:rPr>
            </w:pP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(225)</w:t>
            </w:r>
          </w:p>
        </w:tc>
      </w:tr>
      <w:tr>
        <w:trPr>
          <w:trHeight w:val="203"/>
        </w:trPr>
        <w:tc>
          <w:tcPr>
            <w:tcW w:w="4320" w:type="dxa"/>
            <w:vAlign w:val="bottom"/>
          </w:tcPr>
          <w:p>
            <w:pPr>
              <w:spacing w:after="0"/>
              <w:rPr>
                <w:sz w:val="17"/>
                <w:szCs w:val="17"/>
                <w:color w:val="auto"/>
              </w:rPr>
            </w:pPr>
          </w:p>
        </w:tc>
        <w:tc>
          <w:tcPr>
            <w:tcW w:w="1200" w:type="dxa"/>
            <w:vAlign w:val="bottom"/>
            <w:gridSpan w:val="2"/>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32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52"/>
              <w:spacing w:after="0"/>
              <w:rPr>
                <w:sz w:val="20"/>
                <w:szCs w:val="20"/>
                <w:color w:val="auto"/>
              </w:rPr>
            </w:pPr>
            <w:r>
              <w:rPr>
                <w:rFonts w:ascii="Courier New" w:cs="Courier New" w:eastAsia="Courier New" w:hAnsi="Courier New"/>
                <w:sz w:val="18"/>
                <w:szCs w:val="18"/>
                <w:color w:val="auto"/>
              </w:rPr>
              <w:t>419</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$ 1,184</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608</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$ 1,293</w:t>
            </w:r>
          </w:p>
        </w:tc>
      </w:tr>
      <w:tr>
        <w:trPr>
          <w:trHeight w:val="203"/>
        </w:trPr>
        <w:tc>
          <w:tcPr>
            <w:tcW w:w="4320" w:type="dxa"/>
            <w:vAlign w:val="bottom"/>
          </w:tcPr>
          <w:p>
            <w:pPr>
              <w:spacing w:after="0"/>
              <w:rPr>
                <w:sz w:val="17"/>
                <w:szCs w:val="17"/>
                <w:color w:val="auto"/>
              </w:rPr>
            </w:pPr>
          </w:p>
        </w:tc>
        <w:tc>
          <w:tcPr>
            <w:tcW w:w="1200" w:type="dxa"/>
            <w:vAlign w:val="bottom"/>
            <w:gridSpan w:val="2"/>
          </w:tcPr>
          <w:p>
            <w:pPr>
              <w:jc w:val="right"/>
              <w:ind w:right="15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40" w:type="dxa"/>
            <w:vAlign w:val="bottom"/>
            <w:gridSpan w:val="4"/>
          </w:tcPr>
          <w:p>
            <w:pPr>
              <w:jc w:val="center"/>
              <w:ind w:left="435"/>
              <w:spacing w:after="0"/>
              <w:rPr>
                <w:sz w:val="20"/>
                <w:szCs w:val="20"/>
                <w:color w:val="auto"/>
              </w:rPr>
            </w:pPr>
            <w:r>
              <w:rPr>
                <w:rFonts w:ascii="Arial" w:cs="Arial" w:eastAsia="Arial" w:hAnsi="Arial"/>
                <w:sz w:val="18"/>
                <w:szCs w:val="18"/>
                <w:b w:val="1"/>
                <w:bCs w:val="1"/>
                <w:color w:val="auto"/>
                <w:w w:val="96"/>
              </w:rPr>
              <w:t>inTEST CORPORATION</w:t>
            </w:r>
          </w:p>
        </w:tc>
        <w:tc>
          <w:tcPr>
            <w:tcW w:w="1540" w:type="dxa"/>
            <w:vAlign w:val="bottom"/>
          </w:tcPr>
          <w:p>
            <w:pPr>
              <w:spacing w:after="0"/>
              <w:rPr>
                <w:sz w:val="18"/>
                <w:szCs w:val="18"/>
                <w:color w:val="auto"/>
              </w:rPr>
            </w:pP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360" w:type="dxa"/>
            <w:vAlign w:val="bottom"/>
            <w:gridSpan w:val="7"/>
          </w:tcPr>
          <w:p>
            <w:pPr>
              <w:jc w:val="center"/>
              <w:ind w:left="177"/>
              <w:spacing w:after="0"/>
              <w:rPr>
                <w:sz w:val="20"/>
                <w:szCs w:val="20"/>
                <w:color w:val="auto"/>
              </w:rPr>
            </w:pPr>
            <w:r>
              <w:rPr>
                <w:rFonts w:ascii="Arial" w:cs="Arial" w:eastAsia="Arial" w:hAnsi="Arial"/>
                <w:sz w:val="18"/>
                <w:szCs w:val="18"/>
                <w:b w:val="1"/>
                <w:bCs w:val="1"/>
                <w:color w:val="auto"/>
                <w:w w:val="98"/>
              </w:rPr>
              <w:t>CONSOLIDATED STATEMENT OF STOCKHOLDERS' EQUITY</w:t>
            </w:r>
          </w:p>
        </w:tc>
      </w:tr>
      <w:tr>
        <w:trPr>
          <w:trHeight w:val="216"/>
        </w:trPr>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80" w:type="dxa"/>
            <w:vAlign w:val="bottom"/>
            <w:gridSpan w:val="5"/>
          </w:tcPr>
          <w:p>
            <w:pPr>
              <w:jc w:val="center"/>
              <w:ind w:right="999"/>
              <w:spacing w:after="0"/>
              <w:rPr>
                <w:sz w:val="20"/>
                <w:szCs w:val="20"/>
                <w:color w:val="auto"/>
              </w:rPr>
            </w:pPr>
            <w:r>
              <w:rPr>
                <w:rFonts w:ascii="Arial" w:cs="Arial" w:eastAsia="Arial" w:hAnsi="Arial"/>
                <w:sz w:val="18"/>
                <w:szCs w:val="18"/>
                <w:color w:val="auto"/>
                <w:w w:val="85"/>
              </w:rPr>
              <w:t>(In thousands, except share data)</w:t>
            </w:r>
          </w:p>
        </w:tc>
      </w:tr>
      <w:tr>
        <w:trPr>
          <w:trHeight w:val="222"/>
        </w:trPr>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center"/>
              <w:ind w:right="539"/>
              <w:spacing w:after="0"/>
              <w:rPr>
                <w:sz w:val="20"/>
                <w:szCs w:val="20"/>
                <w:color w:val="auto"/>
              </w:rPr>
            </w:pPr>
            <w:r>
              <w:rPr>
                <w:rFonts w:ascii="Arial" w:cs="Arial" w:eastAsia="Arial" w:hAnsi="Arial"/>
                <w:sz w:val="18"/>
                <w:szCs w:val="18"/>
                <w:color w:val="auto"/>
                <w:w w:val="91"/>
              </w:rPr>
              <w:t>(Unaudited)</w:t>
            </w:r>
          </w:p>
        </w:tc>
        <w:tc>
          <w:tcPr>
            <w:tcW w:w="1540" w:type="dxa"/>
            <w:vAlign w:val="bottom"/>
          </w:tcPr>
          <w:p>
            <w:pPr>
              <w:spacing w:after="0"/>
              <w:rPr>
                <w:sz w:val="19"/>
                <w:szCs w:val="19"/>
                <w:color w:val="auto"/>
              </w:rPr>
            </w:pPr>
          </w:p>
        </w:tc>
      </w:tr>
      <w:tr>
        <w:trPr>
          <w:trHeight w:val="509"/>
        </w:trPr>
        <w:tc>
          <w:tcPr>
            <w:tcW w:w="2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gridSpan w:val="2"/>
          </w:tcPr>
          <w:p>
            <w:pPr>
              <w:jc w:val="right"/>
              <w:ind w:right="56"/>
              <w:spacing w:after="0"/>
              <w:rPr>
                <w:sz w:val="20"/>
                <w:szCs w:val="20"/>
                <w:color w:val="auto"/>
              </w:rPr>
            </w:pPr>
            <w:r>
              <w:rPr>
                <w:rFonts w:ascii="Courier New" w:cs="Courier New" w:eastAsia="Courier New" w:hAnsi="Courier New"/>
                <w:sz w:val="12"/>
                <w:szCs w:val="12"/>
                <w:color w:val="auto"/>
              </w:rPr>
              <w:t>Accumulated</w:t>
            </w: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35"/>
        </w:trPr>
        <w:tc>
          <w:tcPr>
            <w:tcW w:w="2060" w:type="dxa"/>
            <w:vAlign w:val="bottom"/>
          </w:tcPr>
          <w:p>
            <w:pPr>
              <w:spacing w:after="0"/>
              <w:rPr>
                <w:sz w:val="11"/>
                <w:szCs w:val="11"/>
                <w:color w:val="auto"/>
              </w:rPr>
            </w:pPr>
          </w:p>
        </w:tc>
        <w:tc>
          <w:tcPr>
            <w:tcW w:w="1380" w:type="dxa"/>
            <w:vAlign w:val="bottom"/>
            <w:gridSpan w:val="2"/>
          </w:tcPr>
          <w:p>
            <w:pPr>
              <w:jc w:val="right"/>
              <w:ind w:right="157"/>
              <w:spacing w:after="0"/>
              <w:rPr>
                <w:sz w:val="20"/>
                <w:szCs w:val="20"/>
                <w:color w:val="auto"/>
              </w:rPr>
            </w:pPr>
            <w:r>
              <w:rPr>
                <w:rFonts w:ascii="Courier New" w:cs="Courier New" w:eastAsia="Courier New" w:hAnsi="Courier New"/>
                <w:sz w:val="12"/>
                <w:szCs w:val="12"/>
                <w:color w:val="auto"/>
              </w:rPr>
              <w:t>Common Stock</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w w:val="97"/>
              </w:rPr>
              <w:t>Additional</w:t>
            </w:r>
          </w:p>
        </w:tc>
        <w:tc>
          <w:tcPr>
            <w:tcW w:w="700" w:type="dxa"/>
            <w:vAlign w:val="bottom"/>
          </w:tcPr>
          <w:p>
            <w:pPr>
              <w:spacing w:after="0"/>
              <w:rPr>
                <w:sz w:val="11"/>
                <w:szCs w:val="11"/>
                <w:color w:val="auto"/>
              </w:rPr>
            </w:pPr>
          </w:p>
        </w:tc>
        <w:tc>
          <w:tcPr>
            <w:tcW w:w="980" w:type="dxa"/>
            <w:vAlign w:val="bottom"/>
            <w:gridSpan w:val="2"/>
          </w:tcPr>
          <w:p>
            <w:pPr>
              <w:jc w:val="right"/>
              <w:ind w:right="336"/>
              <w:spacing w:after="0"/>
              <w:rPr>
                <w:sz w:val="20"/>
                <w:szCs w:val="20"/>
                <w:color w:val="auto"/>
              </w:rPr>
            </w:pPr>
            <w:r>
              <w:rPr>
                <w:rFonts w:ascii="Courier New" w:cs="Courier New" w:eastAsia="Courier New" w:hAnsi="Courier New"/>
                <w:sz w:val="12"/>
                <w:szCs w:val="12"/>
                <w:color w:val="auto"/>
              </w:rPr>
              <w:t>Other</w:t>
            </w:r>
          </w:p>
        </w:tc>
        <w:tc>
          <w:tcPr>
            <w:tcW w:w="860" w:type="dxa"/>
            <w:vAlign w:val="bottom"/>
          </w:tcPr>
          <w:p>
            <w:pPr>
              <w:spacing w:after="0"/>
              <w:rPr>
                <w:sz w:val="11"/>
                <w:szCs w:val="11"/>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2060" w:type="dxa"/>
            <w:vAlign w:val="bottom"/>
          </w:tcPr>
          <w:p>
            <w:pPr>
              <w:spacing w:after="0"/>
              <w:rPr>
                <w:sz w:val="11"/>
                <w:szCs w:val="11"/>
                <w:color w:val="auto"/>
              </w:rPr>
            </w:pP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Paid-In</w:t>
            </w:r>
          </w:p>
        </w:tc>
        <w:tc>
          <w:tcPr>
            <w:tcW w:w="4080" w:type="dxa"/>
            <w:vAlign w:val="bottom"/>
            <w:gridSpan w:val="5"/>
          </w:tcPr>
          <w:p>
            <w:pPr>
              <w:jc w:val="right"/>
              <w:ind w:right="699"/>
              <w:spacing w:after="0"/>
              <w:rPr>
                <w:sz w:val="20"/>
                <w:szCs w:val="20"/>
                <w:color w:val="auto"/>
              </w:rPr>
            </w:pPr>
            <w:r>
              <w:rPr>
                <w:rFonts w:ascii="Courier New" w:cs="Courier New" w:eastAsia="Courier New" w:hAnsi="Courier New"/>
                <w:sz w:val="12"/>
                <w:szCs w:val="12"/>
                <w:color w:val="auto"/>
              </w:rPr>
              <w:t>Retained Comprehensive Treasury Stockholders'</w:t>
            </w:r>
          </w:p>
        </w:tc>
      </w:tr>
      <w:tr>
        <w:trPr>
          <w:trHeight w:val="135"/>
        </w:trPr>
        <w:tc>
          <w:tcPr>
            <w:tcW w:w="2060" w:type="dxa"/>
            <w:vAlign w:val="bottom"/>
          </w:tcPr>
          <w:p>
            <w:pPr>
              <w:spacing w:after="0"/>
              <w:rPr>
                <w:sz w:val="11"/>
                <w:szCs w:val="11"/>
                <w:color w:val="auto"/>
              </w:rPr>
            </w:pPr>
          </w:p>
        </w:tc>
        <w:tc>
          <w:tcPr>
            <w:tcW w:w="86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Shares</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w w:val="97"/>
              </w:rPr>
              <w:t>Amount</w:t>
            </w:r>
          </w:p>
        </w:tc>
        <w:tc>
          <w:tcPr>
            <w:tcW w:w="7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Capital</w:t>
            </w:r>
          </w:p>
        </w:tc>
        <w:tc>
          <w:tcPr>
            <w:tcW w:w="700" w:type="dxa"/>
            <w:vAlign w:val="bottom"/>
          </w:tcPr>
          <w:p>
            <w:pPr>
              <w:jc w:val="right"/>
              <w:ind w:right="15"/>
              <w:spacing w:after="0"/>
              <w:rPr>
                <w:sz w:val="20"/>
                <w:szCs w:val="20"/>
                <w:color w:val="auto"/>
              </w:rPr>
            </w:pPr>
            <w:r>
              <w:rPr>
                <w:rFonts w:ascii="Courier New" w:cs="Courier New" w:eastAsia="Courier New" w:hAnsi="Courier New"/>
                <w:sz w:val="12"/>
                <w:szCs w:val="12"/>
                <w:color w:val="auto"/>
              </w:rPr>
              <w:t>Earnings</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Earnings</w:t>
            </w:r>
          </w:p>
        </w:tc>
        <w:tc>
          <w:tcPr>
            <w:tcW w:w="860" w:type="dxa"/>
            <w:vAlign w:val="bottom"/>
          </w:tcPr>
          <w:p>
            <w:pPr>
              <w:jc w:val="right"/>
              <w:ind w:right="319"/>
              <w:spacing w:after="0"/>
              <w:rPr>
                <w:sz w:val="20"/>
                <w:szCs w:val="20"/>
                <w:color w:val="auto"/>
              </w:rPr>
            </w:pPr>
            <w:r>
              <w:rPr>
                <w:rFonts w:ascii="Courier New" w:cs="Courier New" w:eastAsia="Courier New" w:hAnsi="Courier New"/>
                <w:sz w:val="12"/>
                <w:szCs w:val="12"/>
                <w:color w:val="auto"/>
              </w:rPr>
              <w:t>Stock</w:t>
            </w:r>
          </w:p>
        </w:tc>
        <w:tc>
          <w:tcPr>
            <w:tcW w:w="1540" w:type="dxa"/>
            <w:vAlign w:val="bottom"/>
          </w:tcPr>
          <w:p>
            <w:pPr>
              <w:ind w:left="60"/>
              <w:spacing w:after="0"/>
              <w:rPr>
                <w:sz w:val="20"/>
                <w:szCs w:val="20"/>
                <w:color w:val="auto"/>
              </w:rPr>
            </w:pPr>
            <w:r>
              <w:rPr>
                <w:rFonts w:ascii="Courier New" w:cs="Courier New" w:eastAsia="Courier New" w:hAnsi="Courier New"/>
                <w:sz w:val="12"/>
                <w:szCs w:val="12"/>
                <w:color w:val="auto"/>
              </w:rPr>
              <w:t>Equity</w:t>
            </w:r>
          </w:p>
        </w:tc>
      </w:tr>
      <w:tr>
        <w:trPr>
          <w:trHeight w:val="137"/>
        </w:trPr>
        <w:tc>
          <w:tcPr>
            <w:tcW w:w="2060" w:type="dxa"/>
            <w:vAlign w:val="bottom"/>
          </w:tcPr>
          <w:p>
            <w:pPr>
              <w:spacing w:after="0"/>
              <w:rPr>
                <w:sz w:val="11"/>
                <w:szCs w:val="11"/>
                <w:color w:val="auto"/>
              </w:rPr>
            </w:pPr>
          </w:p>
        </w:tc>
        <w:tc>
          <w:tcPr>
            <w:tcW w:w="1380" w:type="dxa"/>
            <w:vAlign w:val="bottom"/>
            <w:gridSpan w:val="2"/>
          </w:tcPr>
          <w:p>
            <w:pPr>
              <w:jc w:val="right"/>
              <w:ind w:right="17"/>
              <w:spacing w:after="0"/>
              <w:rPr>
                <w:sz w:val="20"/>
                <w:szCs w:val="20"/>
                <w:color w:val="auto"/>
              </w:rPr>
            </w:pPr>
            <w:r>
              <w:rPr>
                <w:rFonts w:ascii="Courier New" w:cs="Courier New" w:eastAsia="Courier New" w:hAnsi="Courier New"/>
                <w:sz w:val="12"/>
                <w:szCs w:val="12"/>
                <w:color w:val="auto"/>
              </w:rPr>
              <w:t>---------- ------</w:t>
            </w:r>
          </w:p>
        </w:tc>
        <w:tc>
          <w:tcPr>
            <w:tcW w:w="4840" w:type="dxa"/>
            <w:vAlign w:val="bottom"/>
            <w:gridSpan w:val="6"/>
          </w:tcPr>
          <w:p>
            <w:pPr>
              <w:jc w:val="right"/>
              <w:ind w:right="699"/>
              <w:spacing w:after="0"/>
              <w:rPr>
                <w:sz w:val="20"/>
                <w:szCs w:val="20"/>
                <w:color w:val="auto"/>
              </w:rPr>
            </w:pPr>
            <w:r>
              <w:rPr>
                <w:rFonts w:ascii="Courier New" w:cs="Courier New" w:eastAsia="Courier New" w:hAnsi="Courier New"/>
                <w:sz w:val="12"/>
                <w:szCs w:val="12"/>
                <w:color w:val="auto"/>
              </w:rPr>
              <w:t>---------- -------- ------------- -------- -------------</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January 1, 2016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10,549,423</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$ 105</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$26,286</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$9,013</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725</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$35,925</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567</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567</w:t>
            </w:r>
          </w:p>
        </w:tc>
      </w:tr>
      <w:tr>
        <w:trPr>
          <w:trHeight w:val="270"/>
        </w:trPr>
        <w:tc>
          <w:tcPr>
            <w:tcW w:w="2060" w:type="dxa"/>
            <w:vAlign w:val="bottom"/>
          </w:tcPr>
          <w:p>
            <w:pPr>
              <w:spacing w:after="0"/>
              <w:rPr>
                <w:sz w:val="20"/>
                <w:szCs w:val="20"/>
                <w:color w:val="auto"/>
              </w:rPr>
            </w:pPr>
            <w:r>
              <w:rPr>
                <w:rFonts w:ascii="Courier New" w:cs="Courier New" w:eastAsia="Courier New" w:hAnsi="Courier New"/>
                <w:sz w:val="12"/>
                <w:szCs w:val="12"/>
                <w:color w:val="auto"/>
              </w:rPr>
              <w:t>Other comprehensive income</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23"/>
                <w:szCs w:val="23"/>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41</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41</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stock-based awards</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178</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178</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7"/>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63,900</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Repurchase and retirement</w:t>
            </w: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35"/>
        </w:trPr>
        <w:tc>
          <w:tcPr>
            <w:tcW w:w="2060" w:type="dxa"/>
            <w:vAlign w:val="bottom"/>
          </w:tcPr>
          <w:p>
            <w:pPr>
              <w:ind w:left="160"/>
              <w:spacing w:after="0"/>
              <w:rPr>
                <w:sz w:val="20"/>
                <w:szCs w:val="20"/>
                <w:color w:val="auto"/>
              </w:rPr>
            </w:pPr>
            <w:r>
              <w:rPr>
                <w:rFonts w:ascii="Courier New" w:cs="Courier New" w:eastAsia="Courier New" w:hAnsi="Courier New"/>
                <w:sz w:val="12"/>
                <w:szCs w:val="12"/>
                <w:color w:val="auto"/>
              </w:rPr>
              <w:t>of common stock</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(190,725)</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(768)</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839"/>
              <w:spacing w:after="0"/>
              <w:rPr>
                <w:sz w:val="20"/>
                <w:szCs w:val="20"/>
                <w:color w:val="auto"/>
              </w:rPr>
            </w:pPr>
            <w:r>
              <w:rPr>
                <w:rFonts w:ascii="Courier New" w:cs="Courier New" w:eastAsia="Courier New" w:hAnsi="Courier New"/>
                <w:sz w:val="12"/>
                <w:szCs w:val="12"/>
                <w:color w:val="auto"/>
              </w:rPr>
              <w:t>(770)</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r>
        <w:trPr>
          <w:trHeight w:val="268"/>
        </w:trPr>
        <w:tc>
          <w:tcPr>
            <w:tcW w:w="2060" w:type="dxa"/>
            <w:vAlign w:val="bottom"/>
          </w:tcPr>
          <w:p>
            <w:pPr>
              <w:spacing w:after="0"/>
              <w:rPr>
                <w:sz w:val="20"/>
                <w:szCs w:val="20"/>
                <w:color w:val="auto"/>
              </w:rPr>
            </w:pPr>
            <w:r>
              <w:rPr>
                <w:rFonts w:ascii="Courier New" w:cs="Courier New" w:eastAsia="Courier New" w:hAnsi="Courier New"/>
                <w:sz w:val="12"/>
                <w:szCs w:val="12"/>
                <w:color w:val="auto"/>
              </w:rPr>
              <w:t>Balance, June 30, 2016</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10,422,598</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$ 104</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$25,695</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$9,580</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96"/>
              <w:spacing w:after="0"/>
              <w:rPr>
                <w:sz w:val="20"/>
                <w:szCs w:val="20"/>
                <w:color w:val="auto"/>
              </w:rPr>
            </w:pPr>
            <w:r>
              <w:rPr>
                <w:rFonts w:ascii="Courier New" w:cs="Courier New" w:eastAsia="Courier New" w:hAnsi="Courier New"/>
                <w:sz w:val="12"/>
                <w:szCs w:val="12"/>
                <w:color w:val="auto"/>
              </w:rPr>
              <w:t>766</w:t>
            </w:r>
          </w:p>
        </w:tc>
        <w:tc>
          <w:tcPr>
            <w:tcW w:w="86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$(204)</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$35,941</w:t>
            </w:r>
          </w:p>
        </w:tc>
      </w:tr>
      <w:tr>
        <w:trPr>
          <w:trHeight w:val="137"/>
        </w:trPr>
        <w:tc>
          <w:tcPr>
            <w:tcW w:w="206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17"/>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95"/>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96"/>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59"/>
              <w:spacing w:after="0"/>
              <w:rPr>
                <w:sz w:val="20"/>
                <w:szCs w:val="20"/>
                <w:color w:val="auto"/>
              </w:rPr>
            </w:pPr>
            <w:r>
              <w:rPr>
                <w:rFonts w:ascii="Courier New" w:cs="Courier New" w:eastAsia="Courier New" w:hAnsi="Courier New"/>
                <w:sz w:val="12"/>
                <w:szCs w:val="12"/>
                <w:color w:val="auto"/>
              </w:rPr>
              <w:t>=====</w:t>
            </w:r>
          </w:p>
        </w:tc>
        <w:tc>
          <w:tcPr>
            <w:tcW w:w="1540" w:type="dxa"/>
            <w:vAlign w:val="bottom"/>
          </w:tcPr>
          <w:p>
            <w:pPr>
              <w:jc w:val="right"/>
              <w:ind w:right="919"/>
              <w:spacing w:after="0"/>
              <w:rPr>
                <w:sz w:val="20"/>
                <w:szCs w:val="20"/>
                <w:color w:val="auto"/>
              </w:rPr>
            </w:pPr>
            <w:r>
              <w:rPr>
                <w:rFonts w:ascii="Courier New" w:cs="Courier New" w:eastAsia="Courier New" w:hAnsi="Courier New"/>
                <w:sz w:val="12"/>
                <w:szCs w:val="12"/>
                <w:color w:val="auto"/>
              </w:rPr>
              <w:t>=======</w:t>
            </w:r>
          </w:p>
        </w:tc>
      </w:tr>
    </w:tbl>
    <w:p>
      <w:pPr>
        <w:spacing w:after="0" w:line="38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180" w:type="dxa"/>
            <w:vAlign w:val="bottom"/>
          </w:tcPr>
          <w:p>
            <w:pPr>
              <w:spacing w:after="0"/>
              <w:rPr>
                <w:sz w:val="11"/>
                <w:szCs w:val="1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Six Months Ended</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040" w:type="dxa"/>
            <w:vAlign w:val="bottom"/>
            <w:gridSpan w:val="2"/>
          </w:tcPr>
          <w:p>
            <w:pPr>
              <w:jc w:val="right"/>
              <w:ind w:right="219"/>
              <w:spacing w:after="0"/>
              <w:rPr>
                <w:sz w:val="20"/>
                <w:szCs w:val="20"/>
                <w:color w:val="auto"/>
              </w:rPr>
            </w:pPr>
            <w:r>
              <w:rPr>
                <w:rFonts w:ascii="Courier New" w:cs="Courier New" w:eastAsia="Courier New" w:hAnsi="Courier New"/>
                <w:sz w:val="12"/>
                <w:szCs w:val="12"/>
                <w:color w:val="auto"/>
              </w:rPr>
              <w:t>June 30,</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11"/>
                <w:szCs w:val="11"/>
                <w:color w:val="auto"/>
              </w:rPr>
            </w:pPr>
          </w:p>
        </w:tc>
        <w:tc>
          <w:tcPr>
            <w:tcW w:w="14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2016</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2015</w:t>
            </w:r>
          </w:p>
        </w:tc>
        <w:tc>
          <w:tcPr>
            <w:tcW w:w="0" w:type="dxa"/>
            <w:vAlign w:val="bottom"/>
          </w:tcPr>
          <w:p>
            <w:pPr>
              <w:spacing w:after="0"/>
              <w:rPr>
                <w:sz w:val="1"/>
                <w:szCs w:val="1"/>
                <w:color w:val="auto"/>
              </w:rPr>
            </w:pPr>
          </w:p>
        </w:tc>
      </w:tr>
      <w:tr>
        <w:trPr>
          <w:trHeight w:val="137"/>
        </w:trPr>
        <w:tc>
          <w:tcPr>
            <w:tcW w:w="518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4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180" w:type="dxa"/>
            <w:vAlign w:val="bottom"/>
            <w:vMerge w:val="continue"/>
          </w:tcPr>
          <w:p>
            <w:pPr>
              <w:spacing w:after="0"/>
              <w:rPr>
                <w:sz w:val="11"/>
                <w:szCs w:val="11"/>
                <w:color w:val="auto"/>
              </w:rPr>
            </w:pP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8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1400" w:type="dxa"/>
            <w:vAlign w:val="bottom"/>
          </w:tcPr>
          <w:p>
            <w:pPr>
              <w:jc w:val="right"/>
              <w:ind w:right="99"/>
              <w:spacing w:after="0"/>
              <w:rPr>
                <w:sz w:val="20"/>
                <w:szCs w:val="20"/>
                <w:color w:val="auto"/>
              </w:rPr>
            </w:pPr>
            <w:r>
              <w:rPr>
                <w:rFonts w:ascii="Courier New" w:cs="Courier New" w:eastAsia="Courier New" w:hAnsi="Courier New"/>
                <w:sz w:val="12"/>
                <w:szCs w:val="12"/>
                <w:color w:val="auto"/>
              </w:rPr>
              <w:t>$   567</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$ 1,518</w:t>
            </w:r>
          </w:p>
        </w:tc>
        <w:tc>
          <w:tcPr>
            <w:tcW w:w="0" w:type="dxa"/>
            <w:vAlign w:val="bottom"/>
          </w:tcPr>
          <w:p>
            <w:pPr>
              <w:spacing w:after="0"/>
              <w:rPr>
                <w:sz w:val="1"/>
                <w:szCs w:val="1"/>
                <w:color w:val="auto"/>
              </w:rPr>
            </w:pPr>
          </w:p>
        </w:tc>
      </w:tr>
      <w:tr>
        <w:trPr>
          <w:trHeight w:val="135"/>
        </w:trPr>
        <w:tc>
          <w:tcPr>
            <w:tcW w:w="5180" w:type="dxa"/>
            <w:vAlign w:val="bottom"/>
          </w:tcPr>
          <w:p>
            <w:pPr>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180" w:type="dxa"/>
            <w:vAlign w:val="bottom"/>
          </w:tcPr>
          <w:p>
            <w:pPr>
              <w:ind w:left="80"/>
              <w:spacing w:after="0"/>
              <w:rPr>
                <w:sz w:val="20"/>
                <w:szCs w:val="20"/>
                <w:color w:val="auto"/>
              </w:rPr>
            </w:pPr>
            <w:r>
              <w:rPr>
                <w:rFonts w:ascii="Courier New" w:cs="Courier New" w:eastAsia="Courier New" w:hAnsi="Courier New"/>
                <w:sz w:val="12"/>
                <w:szCs w:val="12"/>
                <w:color w:val="auto"/>
              </w:rPr>
              <w:t>operating activities:</w:t>
            </w:r>
          </w:p>
        </w:tc>
        <w:tc>
          <w:tcPr>
            <w:tcW w:w="1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23"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Depreciation and amortization</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304</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395</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118</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110</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Foreign exchange (gain) loss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Amortization of deferred compensation related to stock-based awards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178</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61</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Loss on sale of property and equipment</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13</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146</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Deferred income tax expense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102</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171</w:t>
            </w:r>
          </w:p>
        </w:tc>
      </w:tr>
      <w:tr>
        <w:trPr>
          <w:trHeight w:val="135"/>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Changes in assets and liabilities:</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Trade accounts receivable</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w w:val="99"/>
              </w:rPr>
              <w:t>(2,332)</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(2,390)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Inventories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90</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(377)</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343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195</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Restricted certificates of deposit</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125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Other assets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Accounts payable</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565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480</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wages and benefits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(46)</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22</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rent</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(79)</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(23)</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professional fees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131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Accrued sales commissions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93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92</w:t>
            </w:r>
          </w:p>
        </w:tc>
      </w:tr>
      <w:tr>
        <w:trPr>
          <w:trHeight w:val="135"/>
        </w:trPr>
        <w:tc>
          <w:tcPr>
            <w:tcW w:w="5480" w:type="dxa"/>
            <w:vAlign w:val="bottom"/>
          </w:tcPr>
          <w:p>
            <w:pPr>
              <w:ind w:left="300"/>
              <w:spacing w:after="0"/>
              <w:rPr>
                <w:sz w:val="20"/>
                <w:szCs w:val="20"/>
                <w:color w:val="auto"/>
              </w:rPr>
            </w:pPr>
            <w:r>
              <w:rPr>
                <w:rFonts w:ascii="Courier New" w:cs="Courier New" w:eastAsia="Courier New" w:hAnsi="Courier New"/>
                <w:sz w:val="12"/>
                <w:szCs w:val="12"/>
                <w:color w:val="auto"/>
              </w:rPr>
              <w:t>Other current liabilities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(65)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430</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195</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853</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Purchase of property and equipment</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(164)</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(385)</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(164)</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(416)</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Repurchase of common stock</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(770)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500" w:type="dxa"/>
            <w:vAlign w:val="bottom"/>
          </w:tcPr>
          <w:p>
            <w:pPr>
              <w:spacing w:after="0"/>
              <w:rPr>
                <w:sz w:val="11"/>
                <w:szCs w:val="11"/>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(770)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500" w:type="dxa"/>
            <w:vAlign w:val="bottom"/>
          </w:tcPr>
          <w:p>
            <w:pPr>
              <w:spacing w:after="0"/>
              <w:rPr>
                <w:sz w:val="23"/>
                <w:szCs w:val="23"/>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32</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(128)</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Net cash provided by (used in) all activities</w:t>
            </w:r>
          </w:p>
        </w:tc>
        <w:tc>
          <w:tcPr>
            <w:tcW w:w="500" w:type="dxa"/>
            <w:vAlign w:val="bottom"/>
          </w:tcPr>
          <w:p>
            <w:pPr>
              <w:spacing w:after="0"/>
              <w:rPr>
                <w:sz w:val="23"/>
                <w:szCs w:val="23"/>
                <w:color w:val="auto"/>
              </w:rPr>
            </w:pPr>
          </w:p>
        </w:tc>
        <w:tc>
          <w:tcPr>
            <w:tcW w:w="620" w:type="dxa"/>
            <w:vAlign w:val="bottom"/>
          </w:tcPr>
          <w:p>
            <w:pPr>
              <w:jc w:val="right"/>
              <w:ind w:right="39"/>
              <w:spacing w:after="0"/>
              <w:rPr>
                <w:sz w:val="20"/>
                <w:szCs w:val="20"/>
                <w:color w:val="auto"/>
              </w:rPr>
            </w:pPr>
            <w:r>
              <w:rPr>
                <w:rFonts w:ascii="Courier New" w:cs="Courier New" w:eastAsia="Courier New" w:hAnsi="Courier New"/>
                <w:sz w:val="12"/>
                <w:szCs w:val="12"/>
                <w:color w:val="auto"/>
              </w:rPr>
              <w:t>(707)</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340</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500" w:type="dxa"/>
            <w:vAlign w:val="bottom"/>
          </w:tcPr>
          <w:p>
            <w:pPr>
              <w:spacing w:after="0"/>
              <w:rPr>
                <w:sz w:val="11"/>
                <w:szCs w:val="11"/>
                <w:color w:val="auto"/>
              </w:rPr>
            </w:pP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w w:val="97"/>
              </w:rPr>
              <w:t>25,710</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23,126</w:t>
            </w:r>
          </w:p>
        </w:tc>
      </w:tr>
      <w:tr>
        <w:trPr>
          <w:trHeight w:val="135"/>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135"/>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$25,003</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$23,466</w:t>
            </w:r>
          </w:p>
        </w:tc>
      </w:tr>
      <w:tr>
        <w:trPr>
          <w:trHeight w:val="137"/>
        </w:trPr>
        <w:tc>
          <w:tcPr>
            <w:tcW w:w="5480" w:type="dxa"/>
            <w:vAlign w:val="bottom"/>
          </w:tcPr>
          <w:p>
            <w:pPr>
              <w:spacing w:after="0"/>
              <w:rPr>
                <w:sz w:val="11"/>
                <w:szCs w:val="11"/>
                <w:color w:val="auto"/>
              </w:rPr>
            </w:pPr>
          </w:p>
        </w:tc>
        <w:tc>
          <w:tcPr>
            <w:tcW w:w="1120" w:type="dxa"/>
            <w:vAlign w:val="bottom"/>
            <w:gridSpan w:val="2"/>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r>
      <w:tr>
        <w:trPr>
          <w:trHeight w:val="268"/>
        </w:trPr>
        <w:tc>
          <w:tcPr>
            <w:tcW w:w="5480" w:type="dxa"/>
            <w:vAlign w:val="bottom"/>
          </w:tcPr>
          <w:p>
            <w:pPr>
              <w:spacing w:after="0"/>
              <w:rPr>
                <w:sz w:val="20"/>
                <w:szCs w:val="20"/>
                <w:color w:val="auto"/>
              </w:rPr>
            </w:pPr>
            <w:r>
              <w:rPr>
                <w:rFonts w:ascii="Courier New" w:cs="Courier New" w:eastAsia="Courier New" w:hAnsi="Courier New"/>
                <w:sz w:val="12"/>
                <w:szCs w:val="12"/>
                <w:color w:val="auto"/>
              </w:rPr>
              <w:t>Cash payments for:</w:t>
            </w: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7"/>
        </w:trPr>
        <w:tc>
          <w:tcPr>
            <w:tcW w:w="548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w:t>
            </w:r>
          </w:p>
        </w:tc>
        <w:tc>
          <w:tcPr>
            <w:tcW w:w="700" w:type="dxa"/>
            <w:vAlign w:val="bottom"/>
          </w:tcPr>
          <w:p>
            <w:pPr>
              <w:jc w:val="right"/>
              <w:ind w:right="19"/>
              <w:spacing w:after="0"/>
              <w:rPr>
                <w:sz w:val="20"/>
                <w:szCs w:val="20"/>
                <w:color w:val="auto"/>
              </w:rPr>
            </w:pPr>
            <w:r>
              <w:rPr>
                <w:rFonts w:ascii="Courier New" w:cs="Courier New" w:eastAsia="Courier New" w:hAnsi="Courier New"/>
                <w:sz w:val="12"/>
                <w:szCs w:val="12"/>
                <w:color w:val="auto"/>
              </w:rPr>
              <w:t>$   419</w:t>
            </w:r>
          </w:p>
        </w:tc>
      </w:tr>
    </w:tbl>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We also market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In January 2016, we implemented a workforce reduction, as discussed further in Note 3, which is a key element in restructuring our Mechanical Products segment with the goal of returning this segment to profitability. These efforts could cause us to incur substantial costs and may not be successful. We also continue to implement an acquisition strategy that may cause us to incur substantial expense in reviewing and evaluating potential transactions. We may or may not be successful in locating suitable businesses to acquire. In addition, if we are able to complete an acquisition, we may not be able to successfully integrate the acquired business with our existing business and we may not be able to operate the acquired business profitably. As a result of these or other factors, we may experience significant period-to-period fluctuations in future operating results.</w:t>
      </w:r>
    </w:p>
    <w:p>
      <w:pPr>
        <w:spacing w:after="0" w:line="348" w:lineRule="exact"/>
        <w:rPr>
          <w:sz w:val="20"/>
          <w:szCs w:val="20"/>
          <w:color w:val="auto"/>
        </w:rPr>
      </w:pPr>
    </w:p>
    <w:p>
      <w:pPr>
        <w:ind w:left="540" w:right="6500" w:hanging="532"/>
        <w:spacing w:after="0" w:line="541" w:lineRule="auto"/>
        <w:tabs>
          <w:tab w:leader="none" w:pos="292"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540" w:right="360"/>
        <w:spacing w:after="0" w:line="332" w:lineRule="auto"/>
        <w:rPr>
          <w:sz w:val="20"/>
          <w:szCs w:val="20"/>
          <w:color w:val="auto"/>
        </w:rPr>
      </w:pPr>
      <w:r>
        <w:rPr>
          <w:rFonts w:ascii="Arial" w:cs="Arial" w:eastAsia="Arial" w:hAnsi="Arial"/>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w:t>
      </w:r>
    </w:p>
    <w:p>
      <w:pPr>
        <w:sectPr>
          <w:pgSz w:w="11900" w:h="16838" w:orient="portrait"/>
          <w:cols w:equalWidth="0" w:num="1">
            <w:col w:w="11380"/>
          </w:cols>
          <w:pgMar w:left="240" w:top="132" w:right="279" w:bottom="0" w:gutter="0" w:footer="0" w:header="0"/>
        </w:sectPr>
      </w:pPr>
    </w:p>
    <w:bookmarkStart w:id="5" w:name="page6"/>
    <w:bookmarkEnd w:id="5"/>
    <w:p>
      <w:pPr>
        <w:jc w:val="both"/>
        <w:ind w:left="532" w:right="240"/>
        <w:spacing w:after="0" w:line="298" w:lineRule="auto"/>
        <w:rPr>
          <w:sz w:val="20"/>
          <w:szCs w:val="20"/>
          <w:color w:val="auto"/>
        </w:rPr>
      </w:pPr>
      <w:r>
        <w:rPr>
          <w:rFonts w:ascii="Arial" w:cs="Arial" w:eastAsia="Arial" w:hAnsi="Arial"/>
          <w:sz w:val="16"/>
          <w:szCs w:val="16"/>
          <w:color w:val="auto"/>
        </w:rPr>
        <w:t>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are particularly impacted by estimates.</w:t>
      </w:r>
    </w:p>
    <w:p>
      <w:pPr>
        <w:spacing w:after="0" w:line="167" w:lineRule="exact"/>
        <w:rPr>
          <w:sz w:val="20"/>
          <w:szCs w:val="20"/>
          <w:color w:val="auto"/>
        </w:rPr>
      </w:pPr>
    </w:p>
    <w:p>
      <w:pPr>
        <w:ind w:left="532"/>
        <w:spacing w:after="0" w:line="294" w:lineRule="auto"/>
        <w:rPr>
          <w:sz w:val="20"/>
          <w:szCs w:val="20"/>
          <w:color w:val="auto"/>
        </w:rPr>
      </w:pPr>
      <w:r>
        <w:rPr>
          <w:rFonts w:ascii="Arial" w:cs="Arial" w:eastAsia="Arial" w:hAnsi="Arial"/>
          <w:sz w:val="16"/>
          <w:szCs w:val="16"/>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Annual Report on Form 10-K for the year ended December 31, 2015 filed with the Securities and Exchange Commission on March 29, 2016 (the "2015 Form 10-K").</w:t>
      </w:r>
    </w:p>
    <w:p>
      <w:pPr>
        <w:spacing w:after="0" w:line="170"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32" w:right="6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$118 and $110 for the six months ended June 30, 2016 and 2015, respectively.</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72" w:lineRule="exact"/>
        <w:rPr>
          <w:sz w:val="20"/>
          <w:szCs w:val="20"/>
          <w:color w:val="auto"/>
        </w:rPr>
      </w:pPr>
    </w:p>
    <w:p>
      <w:pPr>
        <w:ind w:left="532"/>
        <w:spacing w:after="0" w:line="286" w:lineRule="auto"/>
        <w:rPr>
          <w:sz w:val="20"/>
          <w:szCs w:val="20"/>
          <w:color w:val="auto"/>
        </w:rPr>
      </w:pPr>
      <w:r>
        <w:rPr>
          <w:rFonts w:ascii="Arial" w:cs="Arial" w:eastAsia="Arial" w:hAnsi="Arial"/>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ind w:left="532"/>
        <w:spacing w:after="0" w:line="253" w:lineRule="auto"/>
        <w:rPr>
          <w:sz w:val="20"/>
          <w:szCs w:val="20"/>
          <w:color w:val="auto"/>
        </w:rPr>
      </w:pPr>
      <w:r>
        <w:rPr>
          <w:rFonts w:ascii="Arial" w:cs="Arial" w:eastAsia="Arial" w:hAnsi="Arial"/>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6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392"/>
          </w:cols>
          <w:pgMar w:left="248" w:top="131" w:right="259" w:bottom="0" w:gutter="0" w:footer="0" w:header="0"/>
        </w:sectPr>
      </w:pPr>
    </w:p>
    <w:bookmarkStart w:id="6" w:name="page7"/>
    <w:bookmarkEnd w:id="6"/>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8.</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six months ended June 30,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72" w:lineRule="exact"/>
        <w:rPr>
          <w:sz w:val="20"/>
          <w:szCs w:val="20"/>
          <w:color w:val="auto"/>
        </w:rPr>
      </w:pPr>
    </w:p>
    <w:p>
      <w:pPr>
        <w:ind w:left="540" w:right="540"/>
        <w:spacing w:after="0" w:line="332" w:lineRule="auto"/>
        <w:rPr>
          <w:sz w:val="20"/>
          <w:szCs w:val="20"/>
          <w:color w:val="auto"/>
        </w:rPr>
      </w:pPr>
      <w:r>
        <w:rPr>
          <w:rFonts w:ascii="Arial" w:cs="Arial" w:eastAsia="Arial" w:hAnsi="Arial"/>
          <w:sz w:val="16"/>
          <w:szCs w:val="16"/>
          <w:color w:val="auto"/>
        </w:rPr>
        <w:t>In addition, 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Net Earnings Per Common Share</w:t>
      </w:r>
    </w:p>
    <w:p>
      <w:pPr>
        <w:spacing w:after="0" w:line="225"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6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9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Three Months Ended</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8"/>
          </w:tcPr>
          <w:p>
            <w:pPr>
              <w:jc w:val="center"/>
              <w:ind w:right="300"/>
              <w:spacing w:after="0"/>
              <w:rPr>
                <w:sz w:val="20"/>
                <w:szCs w:val="20"/>
                <w:color w:val="auto"/>
              </w:rPr>
            </w:pPr>
            <w:r>
              <w:rPr>
                <w:rFonts w:ascii="Arial" w:cs="Arial" w:eastAsia="Arial" w:hAnsi="Arial"/>
                <w:sz w:val="14"/>
                <w:szCs w:val="14"/>
                <w:b w:val="1"/>
                <w:bCs w:val="1"/>
                <w:i w:val="1"/>
                <w:iCs w:val="1"/>
                <w:color w:val="auto"/>
                <w:w w:val="85"/>
              </w:rPr>
              <w:t>Six Months Ended</w:t>
            </w:r>
          </w:p>
        </w:tc>
      </w:tr>
      <w:tr>
        <w:trPr>
          <w:trHeight w:val="146"/>
        </w:trPr>
        <w:tc>
          <w:tcPr>
            <w:tcW w:w="4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ind w:left="8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4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4"/>
          </w:tcPr>
          <w:p>
            <w:pPr>
              <w:jc w:val="center"/>
              <w:ind w:right="20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2"/>
          </w:tcPr>
          <w:p>
            <w:pPr>
              <w:spacing w:after="0"/>
              <w:rPr>
                <w:sz w:val="12"/>
                <w:szCs w:val="12"/>
                <w:color w:val="auto"/>
              </w:rPr>
            </w:pPr>
          </w:p>
        </w:tc>
      </w:tr>
      <w:tr>
        <w:trPr>
          <w:trHeight w:val="156"/>
        </w:trPr>
        <w:tc>
          <w:tcPr>
            <w:tcW w:w="4400" w:type="dxa"/>
            <w:vAlign w:val="bottom"/>
          </w:tcPr>
          <w:p>
            <w:pPr>
              <w:spacing w:after="0"/>
              <w:rPr>
                <w:sz w:val="13"/>
                <w:szCs w:val="13"/>
                <w:color w:val="auto"/>
              </w:rPr>
            </w:pPr>
          </w:p>
        </w:tc>
        <w:tc>
          <w:tcPr>
            <w:tcW w:w="920" w:type="dxa"/>
            <w:vAlign w:val="bottom"/>
            <w:gridSpan w:val="4"/>
          </w:tcPr>
          <w:p>
            <w:pPr>
              <w:ind w:left="660"/>
              <w:spacing w:after="0" w:line="155" w:lineRule="exact"/>
              <w:rPr>
                <w:sz w:val="20"/>
                <w:szCs w:val="20"/>
                <w:color w:val="auto"/>
              </w:rPr>
            </w:pPr>
            <w:r>
              <w:rPr>
                <w:rFonts w:ascii="Arial" w:cs="Arial" w:eastAsia="Arial" w:hAnsi="Arial"/>
                <w:sz w:val="14"/>
                <w:szCs w:val="14"/>
                <w:b w:val="1"/>
                <w:bCs w:val="1"/>
                <w:i w:val="1"/>
                <w:iCs w:val="1"/>
                <w:color w:val="auto"/>
                <w:w w:val="76"/>
              </w:rPr>
              <w:t>2016</w:t>
            </w:r>
          </w:p>
        </w:tc>
        <w:tc>
          <w:tcPr>
            <w:tcW w:w="320" w:type="dxa"/>
            <w:vAlign w:val="bottom"/>
          </w:tcPr>
          <w:p>
            <w:pPr>
              <w:spacing w:after="0"/>
              <w:rPr>
                <w:sz w:val="13"/>
                <w:szCs w:val="13"/>
                <w:color w:val="auto"/>
              </w:rPr>
            </w:pPr>
          </w:p>
        </w:tc>
        <w:tc>
          <w:tcPr>
            <w:tcW w:w="6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320" w:type="dxa"/>
            <w:vAlign w:val="bottom"/>
          </w:tcPr>
          <w:p>
            <w:pPr>
              <w:spacing w:after="0"/>
              <w:rPr>
                <w:sz w:val="13"/>
                <w:szCs w:val="13"/>
                <w:color w:val="auto"/>
              </w:rPr>
            </w:pPr>
          </w:p>
        </w:tc>
        <w:tc>
          <w:tcPr>
            <w:tcW w:w="920" w:type="dxa"/>
            <w:vAlign w:val="bottom"/>
            <w:gridSpan w:val="5"/>
          </w:tcPr>
          <w:p>
            <w:pPr>
              <w:jc w:val="right"/>
              <w:ind w:right="232"/>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62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300" w:type="dxa"/>
            <w:vAlign w:val="bottom"/>
          </w:tcPr>
          <w:p>
            <w:pPr>
              <w:spacing w:after="0"/>
              <w:rPr>
                <w:sz w:val="13"/>
                <w:szCs w:val="13"/>
                <w:color w:val="auto"/>
              </w:rPr>
            </w:pPr>
          </w:p>
        </w:tc>
      </w:tr>
      <w:tr>
        <w:trPr>
          <w:trHeight w:val="20"/>
        </w:trPr>
        <w:tc>
          <w:tcPr>
            <w:tcW w:w="4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5"/>
        </w:trPr>
        <w:tc>
          <w:tcPr>
            <w:tcW w:w="440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240" w:type="dxa"/>
            <w:vAlign w:val="bottom"/>
            <w:gridSpan w:val="5"/>
          </w:tcPr>
          <w:p>
            <w:pPr>
              <w:jc w:val="right"/>
              <w:spacing w:after="0"/>
              <w:rPr>
                <w:sz w:val="20"/>
                <w:szCs w:val="20"/>
                <w:color w:val="auto"/>
              </w:rPr>
            </w:pPr>
            <w:r>
              <w:rPr>
                <w:rFonts w:ascii="Arial" w:cs="Arial" w:eastAsia="Arial" w:hAnsi="Arial"/>
                <w:sz w:val="18"/>
                <w:szCs w:val="18"/>
                <w:color w:val="auto"/>
              </w:rPr>
              <w:t>10,295,836</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10,471,888</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99"/>
              </w:rPr>
              <w:t>10,342,919</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w w:val="99"/>
              </w:rPr>
              <w:t>10,468,651</w:t>
            </w:r>
          </w:p>
        </w:tc>
      </w:tr>
      <w:tr>
        <w:trPr>
          <w:trHeight w:val="243"/>
        </w:trPr>
        <w:tc>
          <w:tcPr>
            <w:tcW w:w="440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05"/>
        </w:trPr>
        <w:tc>
          <w:tcPr>
            <w:tcW w:w="4400" w:type="dxa"/>
            <w:vAlign w:val="bottom"/>
          </w:tcPr>
          <w:p>
            <w:pPr>
              <w:ind w:left="220"/>
              <w:spacing w:after="0" w:line="205" w:lineRule="exact"/>
              <w:rPr>
                <w:sz w:val="20"/>
                <w:szCs w:val="20"/>
                <w:color w:val="auto"/>
              </w:rPr>
            </w:pPr>
            <w:r>
              <w:rPr>
                <w:rFonts w:ascii="Arial" w:cs="Arial" w:eastAsia="Arial" w:hAnsi="Arial"/>
                <w:sz w:val="18"/>
                <w:szCs w:val="18"/>
                <w:color w:val="auto"/>
                <w:w w:val="97"/>
              </w:rPr>
              <w:t>Unvested shares of restricted stock and stock options</w:t>
            </w:r>
          </w:p>
        </w:tc>
        <w:tc>
          <w:tcPr>
            <w:tcW w:w="500" w:type="dxa"/>
            <w:vAlign w:val="bottom"/>
          </w:tcPr>
          <w:p>
            <w:pPr>
              <w:spacing w:after="0"/>
              <w:rPr>
                <w:sz w:val="17"/>
                <w:szCs w:val="17"/>
                <w:color w:val="auto"/>
              </w:rPr>
            </w:pPr>
          </w:p>
        </w:tc>
        <w:tc>
          <w:tcPr>
            <w:tcW w:w="7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14,856</w:t>
            </w:r>
          </w:p>
        </w:tc>
        <w:tc>
          <w:tcPr>
            <w:tcW w:w="200" w:type="dxa"/>
            <w:vAlign w:val="bottom"/>
          </w:tcPr>
          <w:p>
            <w:pPr>
              <w:spacing w:after="0"/>
              <w:rPr>
                <w:sz w:val="17"/>
                <w:szCs w:val="17"/>
                <w:color w:val="auto"/>
              </w:rPr>
            </w:pPr>
          </w:p>
        </w:tc>
        <w:tc>
          <w:tcPr>
            <w:tcW w:w="7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22,569</w:t>
            </w:r>
          </w:p>
        </w:tc>
        <w:tc>
          <w:tcPr>
            <w:tcW w:w="180" w:type="dxa"/>
            <w:vAlign w:val="bottom"/>
          </w:tcPr>
          <w:p>
            <w:pPr>
              <w:spacing w:after="0"/>
              <w:rPr>
                <w:sz w:val="17"/>
                <w:szCs w:val="17"/>
                <w:color w:val="auto"/>
              </w:rPr>
            </w:pPr>
          </w:p>
        </w:tc>
        <w:tc>
          <w:tcPr>
            <w:tcW w:w="7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14,549</w:t>
            </w:r>
          </w:p>
        </w:tc>
        <w:tc>
          <w:tcPr>
            <w:tcW w:w="180" w:type="dxa"/>
            <w:vAlign w:val="bottom"/>
          </w:tcPr>
          <w:p>
            <w:pPr>
              <w:spacing w:after="0"/>
              <w:rPr>
                <w:sz w:val="17"/>
                <w:szCs w:val="17"/>
                <w:color w:val="auto"/>
              </w:rPr>
            </w:pPr>
          </w:p>
        </w:tc>
        <w:tc>
          <w:tcPr>
            <w:tcW w:w="7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20,369</w:t>
            </w:r>
          </w:p>
        </w:tc>
      </w:tr>
    </w:tbl>
    <w:p>
      <w:pPr>
        <w:sectPr>
          <w:pgSz w:w="11900" w:h="16884" w:orient="portrait"/>
          <w:cols w:equalWidth="0" w:num="1">
            <w:col w:w="11420"/>
          </w:cols>
          <w:pgMar w:left="240" w:top="341" w:right="239" w:bottom="0" w:gutter="0" w:footer="0" w:header="0"/>
        </w:sectPr>
      </w:pPr>
    </w:p>
    <w:bookmarkStart w:id="7" w:name="page8"/>
    <w:bookmarkEnd w:id="7"/>
    <w:p>
      <w:pPr>
        <w:spacing w:after="0" w:line="1" w:lineRule="exact"/>
        <w:rPr>
          <w:sz w:val="20"/>
          <w:szCs w:val="20"/>
          <w:color w:val="auto"/>
        </w:rPr>
      </w:pPr>
    </w:p>
    <w:tbl>
      <w:tblPr>
        <w:tblLayout w:type="fixed"/>
        <w:tblInd w:w="1492" w:type="dxa"/>
        <w:tblCellMar>
          <w:top w:w="0" w:type="dxa"/>
          <w:left w:w="0" w:type="dxa"/>
          <w:bottom w:w="0" w:type="dxa"/>
          <w:right w:w="0" w:type="dxa"/>
        </w:tblCellMar>
      </w:tblP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Weighted average common shares and common share</w:t>
            </w: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4"/>
        </w:trPr>
        <w:tc>
          <w:tcPr>
            <w:tcW w:w="4480" w:type="dxa"/>
            <w:vAlign w:val="bottom"/>
          </w:tcPr>
          <w:p>
            <w:pPr>
              <w:ind w:left="80"/>
              <w:spacing w:after="0" w:line="184" w:lineRule="exact"/>
              <w:rPr>
                <w:sz w:val="20"/>
                <w:szCs w:val="20"/>
                <w:color w:val="auto"/>
              </w:rPr>
            </w:pPr>
            <w:r>
              <w:rPr>
                <w:rFonts w:ascii="Arial" w:cs="Arial" w:eastAsia="Arial" w:hAnsi="Arial"/>
                <w:sz w:val="18"/>
                <w:szCs w:val="18"/>
                <w:color w:val="auto"/>
              </w:rPr>
              <w:t>equivalents outstanding - diluted</w:t>
            </w:r>
          </w:p>
        </w:tc>
        <w:tc>
          <w:tcPr>
            <w:tcW w:w="1300" w:type="dxa"/>
            <w:vAlign w:val="bottom"/>
            <w:gridSpan w:val="3"/>
          </w:tcPr>
          <w:p>
            <w:pPr>
              <w:jc w:val="right"/>
              <w:ind w:right="140"/>
              <w:spacing w:after="0" w:line="184" w:lineRule="exact"/>
              <w:rPr>
                <w:sz w:val="20"/>
                <w:szCs w:val="20"/>
                <w:color w:val="auto"/>
              </w:rPr>
            </w:pPr>
            <w:r>
              <w:rPr>
                <w:rFonts w:ascii="Arial" w:cs="Arial" w:eastAsia="Arial" w:hAnsi="Arial"/>
                <w:sz w:val="18"/>
                <w:szCs w:val="18"/>
                <w:color w:val="auto"/>
              </w:rPr>
              <w:t>10,310,692</w:t>
            </w:r>
          </w:p>
        </w:tc>
        <w:tc>
          <w:tcPr>
            <w:tcW w:w="800" w:type="dxa"/>
            <w:vAlign w:val="bottom"/>
          </w:tcPr>
          <w:p>
            <w:pPr>
              <w:jc w:val="right"/>
              <w:spacing w:after="0" w:line="184" w:lineRule="exact"/>
              <w:rPr>
                <w:sz w:val="20"/>
                <w:szCs w:val="20"/>
                <w:color w:val="auto"/>
              </w:rPr>
            </w:pPr>
            <w:r>
              <w:rPr>
                <w:rFonts w:ascii="Arial" w:cs="Arial" w:eastAsia="Arial" w:hAnsi="Arial"/>
                <w:sz w:val="18"/>
                <w:szCs w:val="18"/>
                <w:color w:val="auto"/>
                <w:w w:val="86"/>
              </w:rPr>
              <w:t>10,494,457</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9"/>
              </w:rPr>
              <w:t>10,357,468</w:t>
            </w:r>
          </w:p>
        </w:tc>
        <w:tc>
          <w:tcPr>
            <w:tcW w:w="920" w:type="dxa"/>
            <w:vAlign w:val="bottom"/>
            <w:gridSpan w:val="2"/>
          </w:tcPr>
          <w:p>
            <w:pPr>
              <w:jc w:val="right"/>
              <w:spacing w:after="0" w:line="184" w:lineRule="exact"/>
              <w:rPr>
                <w:sz w:val="20"/>
                <w:szCs w:val="20"/>
                <w:color w:val="auto"/>
              </w:rPr>
            </w:pPr>
            <w:r>
              <w:rPr>
                <w:rFonts w:ascii="Arial" w:cs="Arial" w:eastAsia="Arial" w:hAnsi="Arial"/>
                <w:sz w:val="18"/>
                <w:szCs w:val="18"/>
                <w:color w:val="auto"/>
                <w:w w:val="99"/>
              </w:rPr>
              <w:t>10,489,020</w:t>
            </w:r>
          </w:p>
        </w:tc>
      </w:tr>
      <w:tr>
        <w:trPr>
          <w:trHeight w:val="498"/>
        </w:trPr>
        <w:tc>
          <w:tcPr>
            <w:tcW w:w="4480" w:type="dxa"/>
            <w:vAlign w:val="bottom"/>
          </w:tcPr>
          <w:p>
            <w:pPr>
              <w:spacing w:after="0"/>
              <w:rPr>
                <w:sz w:val="20"/>
                <w:szCs w:val="20"/>
                <w:color w:val="auto"/>
              </w:rPr>
            </w:pPr>
            <w:r>
              <w:rPr>
                <w:rFonts w:ascii="Arial" w:cs="Arial" w:eastAsia="Arial" w:hAnsi="Arial"/>
                <w:sz w:val="18"/>
                <w:szCs w:val="18"/>
                <w:color w:val="auto"/>
                <w:w w:val="97"/>
              </w:rPr>
              <w:t>Average number of potentially dilutive securities excluded</w:t>
            </w:r>
          </w:p>
        </w:tc>
        <w:tc>
          <w:tcPr>
            <w:tcW w:w="3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22"/>
        </w:trPr>
        <w:tc>
          <w:tcPr>
            <w:tcW w:w="4480" w:type="dxa"/>
            <w:vAlign w:val="bottom"/>
          </w:tcPr>
          <w:p>
            <w:pPr>
              <w:ind w:left="140"/>
              <w:spacing w:after="0"/>
              <w:rPr>
                <w:sz w:val="20"/>
                <w:szCs w:val="20"/>
                <w:color w:val="auto"/>
              </w:rPr>
            </w:pPr>
            <w:r>
              <w:rPr>
                <w:rFonts w:ascii="Arial" w:cs="Arial" w:eastAsia="Arial" w:hAnsi="Arial"/>
                <w:sz w:val="18"/>
                <w:szCs w:val="18"/>
                <w:color w:val="auto"/>
              </w:rPr>
              <w:t>from calculation</w:t>
            </w:r>
          </w:p>
        </w:tc>
        <w:tc>
          <w:tcPr>
            <w:tcW w:w="1300" w:type="dxa"/>
            <w:vAlign w:val="bottom"/>
            <w:gridSpan w:val="3"/>
          </w:tcPr>
          <w:p>
            <w:pPr>
              <w:jc w:val="right"/>
              <w:ind w:right="140"/>
              <w:spacing w:after="0"/>
              <w:rPr>
                <w:sz w:val="20"/>
                <w:szCs w:val="20"/>
                <w:color w:val="auto"/>
              </w:rPr>
            </w:pPr>
            <w:r>
              <w:rPr>
                <w:rFonts w:ascii="Arial" w:cs="Arial" w:eastAsia="Arial" w:hAnsi="Arial"/>
                <w:sz w:val="18"/>
                <w:szCs w:val="18"/>
                <w:color w:val="auto"/>
              </w:rPr>
              <w:t>19,800</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23" w:lineRule="exact"/>
        <w:rPr>
          <w:sz w:val="20"/>
          <w:szCs w:val="20"/>
          <w:color w:val="auto"/>
        </w:rPr>
      </w:pPr>
    </w:p>
    <w:p>
      <w:pPr>
        <w:ind w:left="532"/>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32" w:right="60"/>
        <w:spacing w:after="0" w:line="289" w:lineRule="auto"/>
        <w:rPr>
          <w:sz w:val="20"/>
          <w:szCs w:val="20"/>
          <w:color w:val="auto"/>
        </w:rPr>
      </w:pPr>
      <w:r>
        <w:rPr>
          <w:rFonts w:ascii="Arial" w:cs="Arial" w:eastAsia="Arial" w:hAnsi="Arial"/>
          <w:sz w:val="16"/>
          <w:szCs w:val="16"/>
          <w:color w:val="auto"/>
        </w:rPr>
        <w:t>In November 2015, the Financial Accounting Standards Board ("FASB") issued amendments to update the current guidance on the balance sheet classification of deferred taxes which is presented in ASC Topic 740 (Income Taxes). The purpose of the amendments is to simplify the presentation of deferred tax assets. This guidance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The amendments are effective for us as of January 1, 2017. Early application is permitted. We elected early application of this guidance effective January 1, 2016. The implementation of these amendments did not have a material impact on our consolidated financial statements. Prior period amounts have been reclassified to be consistent with the current period presentation.</w:t>
      </w:r>
    </w:p>
    <w:p>
      <w:pPr>
        <w:spacing w:after="0" w:line="172" w:lineRule="exact"/>
        <w:rPr>
          <w:sz w:val="20"/>
          <w:szCs w:val="20"/>
          <w:color w:val="auto"/>
        </w:rPr>
      </w:pPr>
    </w:p>
    <w:p>
      <w:pPr>
        <w:ind w:left="532"/>
        <w:spacing w:after="0" w:line="289" w:lineRule="auto"/>
        <w:rPr>
          <w:sz w:val="20"/>
          <w:szCs w:val="20"/>
          <w:color w:val="auto"/>
        </w:rPr>
      </w:pPr>
      <w:r>
        <w:rPr>
          <w:rFonts w:ascii="Arial" w:cs="Arial" w:eastAsia="Arial" w:hAnsi="Arial"/>
          <w:sz w:val="16"/>
          <w:szCs w:val="16"/>
          <w:color w:val="auto"/>
        </w:rPr>
        <w:t>In September 2015, the FASB issued amendments to update the current guidance on accounting for measurement period adjustments in a business combination which is presented in ASC Topic 805 (Business Combinations). This guidance requires an entity to recognize adjustments to provisional amounts that are identified during the measurement period in the reporting period in which the adjustment amounts are determined; record, in the same period's financial statements, the effect on earnings of changes in depreciation, amortization, or other income effects, if any, as a result of the change to the provisional amounts, calculated as if the accounting had been completed at the acquisition date; and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The amendments were effective for us as of January 1, 2016. The implementation of these amendments did not have any impact on our consolidated financial statements.</w:t>
      </w:r>
    </w:p>
    <w:p>
      <w:pPr>
        <w:spacing w:after="0" w:line="200" w:lineRule="exact"/>
        <w:rPr>
          <w:sz w:val="20"/>
          <w:szCs w:val="20"/>
          <w:color w:val="auto"/>
        </w:rPr>
      </w:pPr>
    </w:p>
    <w:p>
      <w:pPr>
        <w:spacing w:after="0" w:line="3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292" w:hanging="292"/>
        <w:spacing w:after="0"/>
        <w:tabs>
          <w:tab w:leader="none" w:pos="29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32"/>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32" w:right="100"/>
        <w:spacing w:after="0" w:line="294" w:lineRule="auto"/>
        <w:rPr>
          <w:sz w:val="20"/>
          <w:szCs w:val="20"/>
          <w:color w:val="auto"/>
        </w:rPr>
      </w:pPr>
      <w:r>
        <w:rPr>
          <w:rFonts w:ascii="Arial" w:cs="Arial" w:eastAsia="Arial" w:hAnsi="Arial"/>
          <w:sz w:val="16"/>
          <w:szCs w:val="16"/>
          <w:color w:val="auto"/>
        </w:rPr>
        <w:t>In March 2016, the FASB issued amendments to the current guidance on accounting for stock-based compensation issued to employees which is contained in ASC Topic 718 (Compensation-Stock Compensation). The new guidance simplifies several aspects of the accounting for share-based payment transactions, including the income tax consequences, classification of awards as either equity or liabilities, and classification on the statement of cash flows. The amendments are effective for us as of January 1, 2017. Early adoption is permitted. We do not expect the implementation of these amendments to have a material impact on our consolidated financial statements.</w:t>
      </w:r>
    </w:p>
    <w:p>
      <w:pPr>
        <w:spacing w:after="0" w:line="129" w:lineRule="exact"/>
        <w:rPr>
          <w:sz w:val="20"/>
          <w:szCs w:val="20"/>
          <w:color w:val="auto"/>
        </w:rPr>
      </w:pPr>
    </w:p>
    <w:p>
      <w:pPr>
        <w:ind w:left="532" w:right="140"/>
        <w:spacing w:after="0" w:line="310" w:lineRule="auto"/>
        <w:rPr>
          <w:sz w:val="20"/>
          <w:szCs w:val="20"/>
          <w:color w:val="auto"/>
        </w:rPr>
      </w:pPr>
      <w:r>
        <w:rPr>
          <w:rFonts w:ascii="Arial" w:cs="Arial" w:eastAsia="Arial" w:hAnsi="Arial"/>
          <w:sz w:val="15"/>
          <w:szCs w:val="15"/>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62" w:lineRule="exact"/>
        <w:rPr>
          <w:sz w:val="20"/>
          <w:szCs w:val="20"/>
          <w:color w:val="auto"/>
        </w:rPr>
      </w:pPr>
    </w:p>
    <w:p>
      <w:pPr>
        <w:ind w:left="532" w:right="20"/>
        <w:spacing w:after="0" w:line="309" w:lineRule="auto"/>
        <w:rPr>
          <w:sz w:val="20"/>
          <w:szCs w:val="20"/>
          <w:color w:val="auto"/>
        </w:rPr>
      </w:pPr>
      <w:r>
        <w:rPr>
          <w:rFonts w:ascii="Arial" w:cs="Arial" w:eastAsia="Arial" w:hAnsi="Arial"/>
          <w:sz w:val="15"/>
          <w:szCs w:val="15"/>
          <w:color w:val="auto"/>
        </w:rPr>
        <w:t>In January 2016, the FASB issued amendments to the current guidance on the recognition and measurement of financial assets and financial liabilities which is presented in ASC Topic 825 (Financial Instruments). The intent of the updated guidance is to enhance the reporting model for financial instruments to provide users of financial statements with improved decision-making information. The updated guidance includes amendments to address aspects of recognition, measurement, presentation and disclosure. Changes included in the amendments are the requirement to measure equity investments at fair value, except those accounted for under the equity method of accounting or those that result in the consolidation of an investee, with changes in fair value recognized in net income; the requirement for a qualitative assessment to identify impairment of equity investments without readily determinable fair values; and the requirement for separate presentation of financial assets and financial liabilities by measurement category and form of financial asset on the balance sheet or in the accompanying notes to the financial statements. The amendments are effective for us as of January 1, 2018. Early application is permitted. We do not expect the implementation of these amendments to have a material impact on our consolidated financial statements.</w:t>
      </w:r>
    </w:p>
    <w:p>
      <w:pPr>
        <w:spacing w:after="0" w:line="162" w:lineRule="exact"/>
        <w:rPr>
          <w:sz w:val="20"/>
          <w:szCs w:val="20"/>
          <w:color w:val="auto"/>
        </w:rPr>
      </w:pPr>
    </w:p>
    <w:p>
      <w:pPr>
        <w:ind w:left="532"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172" w:lineRule="exact"/>
        <w:rPr>
          <w:sz w:val="20"/>
          <w:szCs w:val="20"/>
          <w:color w:val="auto"/>
        </w:rPr>
      </w:pPr>
    </w:p>
    <w:p>
      <w:pPr>
        <w:ind w:left="532"/>
        <w:spacing w:after="0"/>
        <w:rPr>
          <w:sz w:val="20"/>
          <w:szCs w:val="20"/>
          <w:color w:val="auto"/>
        </w:rPr>
      </w:pPr>
      <w:r>
        <w:rPr>
          <w:rFonts w:ascii="Arial" w:cs="Arial" w:eastAsia="Arial" w:hAnsi="Arial"/>
          <w:sz w:val="15"/>
          <w:szCs w:val="15"/>
          <w:color w:val="auto"/>
        </w:rPr>
        <w:t>In May 2014, the FASB issued new guidance on the recognition of revenue from contracts with customers. Subsequent to May, 2014, the FASB has issued</w:t>
      </w:r>
    </w:p>
    <w:p>
      <w:pPr>
        <w:sectPr>
          <w:pgSz w:w="11900" w:h="16838" w:orient="portrait"/>
          <w:cols w:equalWidth="0" w:num="1">
            <w:col w:w="11412"/>
          </w:cols>
          <w:pgMar w:left="248" w:top="158" w:right="239" w:bottom="0" w:gutter="0" w:footer="0" w:header="0"/>
        </w:sectPr>
      </w:pPr>
    </w:p>
    <w:bookmarkStart w:id="8" w:name="page9"/>
    <w:bookmarkEnd w:id="8"/>
    <w:p>
      <w:pPr>
        <w:ind w:left="540" w:right="280"/>
        <w:spacing w:after="0" w:line="291" w:lineRule="auto"/>
        <w:rPr>
          <w:sz w:val="20"/>
          <w:szCs w:val="20"/>
          <w:color w:val="auto"/>
        </w:rPr>
      </w:pPr>
      <w:r>
        <w:rPr>
          <w:rFonts w:ascii="Arial" w:cs="Arial" w:eastAsia="Arial" w:hAnsi="Arial"/>
          <w:sz w:val="16"/>
          <w:szCs w:val="16"/>
          <w:color w:val="auto"/>
        </w:rPr>
        <w:t>additional clarifying guidance on certain aspects of this new guidance.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on January 1, 2018. Early application is only permitted as of the prior effective date, which in our case would be as of January 1, 2017. We have not yet selected a transition method and we are still evaluating the effect that this guidance will have on our consolidated financial statements and related disclosures.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191" w:lineRule="exact"/>
        <w:rPr>
          <w:sz w:val="20"/>
          <w:szCs w:val="20"/>
          <w:color w:val="auto"/>
        </w:rPr>
      </w:pPr>
    </w:p>
    <w:p>
      <w:pPr>
        <w:ind w:left="540" w:right="100"/>
        <w:spacing w:after="0" w:line="306" w:lineRule="auto"/>
        <w:rPr>
          <w:sz w:val="20"/>
          <w:szCs w:val="20"/>
          <w:color w:val="auto"/>
        </w:rPr>
      </w:pPr>
      <w:r>
        <w:rPr>
          <w:rFonts w:ascii="Arial" w:cs="Arial" w:eastAsia="Arial" w:hAnsi="Arial"/>
          <w:sz w:val="16"/>
          <w:szCs w:val="16"/>
          <w:color w:val="auto"/>
        </w:rPr>
        <w:t>In recent years, our Mechanical Products segment has experienced significant operating losses. We have undertaken actions at various times over the last few years to address these losses. On January 4, 2016, we implemented a workforce reduction which resulted in our recording a restructuring charge of $99 in the first quarter of 2016. This entire amount was paid out in the first quarter of 2016.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91" w:lineRule="exact"/>
        <w:rPr>
          <w:sz w:val="20"/>
          <w:szCs w:val="20"/>
          <w:color w:val="auto"/>
        </w:rPr>
      </w:pPr>
    </w:p>
    <w:p>
      <w:pPr>
        <w:ind w:left="540" w:right="86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a division of Test Enterprises, Inc.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was no change in the amount of the carrying value of goodwill for the six months ended June 30,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tables provide further detail about our intangible assets as of June 30, 2016 and December 31, 2015:</w:t>
      </w:r>
    </w:p>
    <w:p>
      <w:pPr>
        <w:spacing w:after="0" w:line="221"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i w:val="1"/>
                <w:iCs w:val="1"/>
                <w:color w:val="auto"/>
              </w:rPr>
              <w:t>June 30, 2016</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5"/>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center"/>
              <w:spacing w:after="0" w:line="158" w:lineRule="exact"/>
              <w:rPr>
                <w:sz w:val="20"/>
                <w:szCs w:val="20"/>
                <w:color w:val="auto"/>
              </w:rPr>
            </w:pPr>
            <w:r>
              <w:rPr>
                <w:rFonts w:ascii="Arial" w:cs="Arial" w:eastAsia="Arial" w:hAnsi="Arial"/>
                <w:sz w:val="14"/>
                <w:szCs w:val="14"/>
                <w:b w:val="1"/>
                <w:bCs w:val="1"/>
                <w:i w:val="1"/>
                <w:iCs w:val="1"/>
                <w:color w:val="auto"/>
                <w:w w:val="88"/>
              </w:rPr>
              <w:t>Net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2140" w:type="dxa"/>
            <w:vAlign w:val="bottom"/>
            <w:gridSpan w:val="6"/>
          </w:tcPr>
          <w:p>
            <w:pPr>
              <w:jc w:val="center"/>
              <w:ind w:left="139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940" w:type="dxa"/>
            <w:vAlign w:val="bottom"/>
          </w:tcPr>
          <w:p>
            <w:pPr>
              <w:spacing w:after="0"/>
              <w:rPr>
                <w:sz w:val="12"/>
                <w:szCs w:val="12"/>
                <w:color w:val="auto"/>
              </w:rPr>
            </w:pPr>
          </w:p>
        </w:tc>
        <w:tc>
          <w:tcPr>
            <w:tcW w:w="2140" w:type="dxa"/>
            <w:vAlign w:val="bottom"/>
            <w:gridSpan w:val="6"/>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6"/>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$1,248</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gridSpan w:val="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232</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405</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185</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66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140</w:t>
            </w:r>
          </w:p>
        </w:tc>
        <w:tc>
          <w:tcPr>
            <w:tcW w:w="360" w:type="dxa"/>
            <w:vAlign w:val="bottom"/>
            <w:gridSpan w:val="3"/>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2,002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478</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66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86"/>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2,002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gridSpan w:val="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988</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399"/>
        </w:trPr>
        <w:tc>
          <w:tcPr>
            <w:tcW w:w="3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i w:val="1"/>
                <w:iCs w:val="1"/>
                <w:color w:val="auto"/>
                <w:w w:val="85"/>
              </w:rPr>
              <w:t>December 31, 2015</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8"/>
        </w:trPr>
        <w:tc>
          <w:tcPr>
            <w:tcW w:w="39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60" w:type="dxa"/>
            <w:vAlign w:val="bottom"/>
            <w:gridSpan w:val="5"/>
          </w:tcPr>
          <w:p>
            <w:pPr>
              <w:jc w:val="center"/>
              <w:ind w:right="5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center"/>
              <w:spacing w:after="0" w:line="158" w:lineRule="exact"/>
              <w:rPr>
                <w:sz w:val="20"/>
                <w:szCs w:val="20"/>
                <w:color w:val="auto"/>
              </w:rPr>
            </w:pPr>
            <w:r>
              <w:rPr>
                <w:rFonts w:ascii="Arial" w:cs="Arial" w:eastAsia="Arial" w:hAnsi="Arial"/>
                <w:sz w:val="14"/>
                <w:szCs w:val="14"/>
                <w:b w:val="1"/>
                <w:bCs w:val="1"/>
                <w:i w:val="1"/>
                <w:iCs w:val="1"/>
                <w:color w:val="auto"/>
                <w:w w:val="88"/>
              </w:rPr>
              <w:t>Net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9"/>
        </w:trPr>
        <w:tc>
          <w:tcPr>
            <w:tcW w:w="3940" w:type="dxa"/>
            <w:vAlign w:val="bottom"/>
          </w:tcPr>
          <w:p>
            <w:pPr>
              <w:spacing w:after="0"/>
              <w:rPr>
                <w:sz w:val="12"/>
                <w:szCs w:val="12"/>
                <w:color w:val="auto"/>
              </w:rPr>
            </w:pPr>
          </w:p>
        </w:tc>
        <w:tc>
          <w:tcPr>
            <w:tcW w:w="2140" w:type="dxa"/>
            <w:vAlign w:val="bottom"/>
            <w:gridSpan w:val="6"/>
          </w:tcPr>
          <w:p>
            <w:pPr>
              <w:jc w:val="center"/>
              <w:ind w:left="139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080" w:type="dxa"/>
            <w:vAlign w:val="bottom"/>
            <w:gridSpan w:val="6"/>
          </w:tcPr>
          <w:p>
            <w:pPr>
              <w:ind w:left="120"/>
              <w:spacing w:after="0" w:line="149" w:lineRule="exact"/>
              <w:rPr>
                <w:sz w:val="20"/>
                <w:szCs w:val="20"/>
                <w:color w:val="auto"/>
              </w:rPr>
            </w:pPr>
            <w:r>
              <w:rPr>
                <w:rFonts w:ascii="Arial" w:cs="Arial" w:eastAsia="Arial" w:hAnsi="Arial"/>
                <w:sz w:val="14"/>
                <w:szCs w:val="14"/>
                <w:b w:val="1"/>
                <w:bCs w:val="1"/>
                <w:i w:val="1"/>
                <w:iCs w:val="1"/>
                <w:color w:val="auto"/>
              </w:rPr>
              <w:t>Accumulated</w:t>
            </w:r>
          </w:p>
        </w:tc>
        <w:tc>
          <w:tcPr>
            <w:tcW w:w="640" w:type="dxa"/>
            <w:vAlign w:val="bottom"/>
            <w:gridSpan w:val="7"/>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940" w:type="dxa"/>
            <w:vAlign w:val="bottom"/>
          </w:tcPr>
          <w:p>
            <w:pPr>
              <w:spacing w:after="0"/>
              <w:rPr>
                <w:sz w:val="12"/>
                <w:szCs w:val="12"/>
                <w:color w:val="auto"/>
              </w:rPr>
            </w:pPr>
          </w:p>
        </w:tc>
        <w:tc>
          <w:tcPr>
            <w:tcW w:w="2140" w:type="dxa"/>
            <w:vAlign w:val="bottom"/>
            <w:gridSpan w:val="6"/>
          </w:tcPr>
          <w:p>
            <w:pPr>
              <w:jc w:val="center"/>
              <w:ind w:left="1378"/>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080" w:type="dxa"/>
            <w:vAlign w:val="bottom"/>
            <w:gridSpan w:val="6"/>
          </w:tcPr>
          <w:p>
            <w:pPr>
              <w:ind w:left="120"/>
              <w:spacing w:after="0" w:line="146" w:lineRule="exact"/>
              <w:rPr>
                <w:sz w:val="20"/>
                <w:szCs w:val="20"/>
                <w:color w:val="auto"/>
              </w:rPr>
            </w:pPr>
            <w:r>
              <w:rPr>
                <w:rFonts w:ascii="Arial" w:cs="Arial" w:eastAsia="Arial" w:hAnsi="Arial"/>
                <w:sz w:val="14"/>
                <w:szCs w:val="14"/>
                <w:b w:val="1"/>
                <w:bCs w:val="1"/>
                <w:i w:val="1"/>
                <w:iCs w:val="1"/>
                <w:color w:val="auto"/>
              </w:rPr>
              <w:t>Amortization</w:t>
            </w:r>
          </w:p>
        </w:tc>
        <w:tc>
          <w:tcPr>
            <w:tcW w:w="40" w:type="dxa"/>
            <w:vAlign w:val="bottom"/>
          </w:tcPr>
          <w:p>
            <w:pPr>
              <w:spacing w:after="0"/>
              <w:rPr>
                <w:sz w:val="12"/>
                <w:szCs w:val="12"/>
                <w:color w:val="auto"/>
              </w:rPr>
            </w:pPr>
          </w:p>
        </w:tc>
        <w:tc>
          <w:tcPr>
            <w:tcW w:w="600" w:type="dxa"/>
            <w:vAlign w:val="bottom"/>
            <w:gridSpan w:val="6"/>
          </w:tcPr>
          <w:p>
            <w:pPr>
              <w:jc w:val="center"/>
              <w:ind w:right="16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9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5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$1,480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$1,116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gridSpan w:val="5"/>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314</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590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204</w:t>
            </w:r>
          </w:p>
        </w:tc>
      </w:tr>
      <w:tr>
        <w:trPr>
          <w:trHeight w:val="243"/>
        </w:trPr>
        <w:tc>
          <w:tcPr>
            <w:tcW w:w="3940" w:type="dxa"/>
            <w:vAlign w:val="bottom"/>
          </w:tcPr>
          <w:p>
            <w:pPr>
              <w:ind w:left="120"/>
              <w:spacing w:after="0"/>
              <w:rPr>
                <w:sz w:val="20"/>
                <w:szCs w:val="20"/>
                <w:color w:val="auto"/>
              </w:rPr>
            </w:pPr>
            <w:r>
              <w:rPr>
                <w:rFonts w:ascii="Arial" w:cs="Arial" w:eastAsia="Arial" w:hAnsi="Arial"/>
                <w:sz w:val="18"/>
                <w:szCs w:val="18"/>
                <w:color w:val="auto"/>
              </w:rPr>
              <w:t>Software</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270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196</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66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140</w:t>
            </w:r>
          </w:p>
        </w:tc>
        <w:tc>
          <w:tcPr>
            <w:tcW w:w="360" w:type="dxa"/>
            <w:vAlign w:val="bottom"/>
            <w:gridSpan w:val="3"/>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138</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40" w:type="dxa"/>
            <w:vAlign w:val="bottom"/>
            <w:gridSpan w:val="6"/>
          </w:tcPr>
          <w:p>
            <w:pPr>
              <w:jc w:val="right"/>
              <w:spacing w:after="0"/>
              <w:rPr>
                <w:sz w:val="20"/>
                <w:szCs w:val="20"/>
                <w:color w:val="auto"/>
              </w:rPr>
            </w:pPr>
            <w:r>
              <w:rPr>
                <w:rFonts w:ascii="Arial" w:cs="Arial" w:eastAsia="Arial" w:hAnsi="Arial"/>
                <w:sz w:val="18"/>
                <w:szCs w:val="18"/>
                <w:color w:val="auto"/>
              </w:rPr>
              <w:t>2,480</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1,886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594</w:t>
            </w:r>
          </w:p>
        </w:tc>
      </w:tr>
      <w:tr>
        <w:trPr>
          <w:trHeight w:val="262"/>
        </w:trPr>
        <w:tc>
          <w:tcPr>
            <w:tcW w:w="39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r>
      <w:tr>
        <w:trPr>
          <w:trHeight w:val="205"/>
        </w:trPr>
        <w:tc>
          <w:tcPr>
            <w:tcW w:w="3940" w:type="dxa"/>
            <w:vAlign w:val="bottom"/>
          </w:tcPr>
          <w:p>
            <w:pPr>
              <w:ind w:left="120"/>
              <w:spacing w:after="0" w:line="205" w:lineRule="exact"/>
              <w:rPr>
                <w:sz w:val="20"/>
                <w:szCs w:val="20"/>
                <w:color w:val="auto"/>
              </w:rPr>
            </w:pPr>
            <w:r>
              <w:rPr>
                <w:rFonts w:ascii="Arial" w:cs="Arial" w:eastAsia="Arial" w:hAnsi="Arial"/>
                <w:sz w:val="18"/>
                <w:szCs w:val="18"/>
                <w:color w:val="auto"/>
              </w:rPr>
              <w:t>Sigma trademark</w:t>
            </w:r>
          </w:p>
        </w:tc>
        <w:tc>
          <w:tcPr>
            <w:tcW w:w="1660" w:type="dxa"/>
            <w:vAlign w:val="bottom"/>
            <w:gridSpan w:val="2"/>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510</w:t>
            </w:r>
          </w:p>
        </w:tc>
        <w:tc>
          <w:tcPr>
            <w:tcW w:w="300" w:type="dxa"/>
            <w:vAlign w:val="bottom"/>
            <w:gridSpan w:val="2"/>
          </w:tcPr>
          <w:p>
            <w:pPr>
              <w:spacing w:after="0"/>
              <w:rPr>
                <w:sz w:val="17"/>
                <w:szCs w:val="17"/>
                <w:color w:val="auto"/>
              </w:rPr>
            </w:pPr>
          </w:p>
        </w:tc>
        <w:tc>
          <w:tcPr>
            <w:tcW w:w="50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w w:val="86"/>
              </w:rPr>
              <w:t>510</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w:t>
            </w:r>
          </w:p>
        </w:tc>
      </w:tr>
      <w:tr>
        <w:trPr>
          <w:trHeight w:val="20"/>
        </w:trPr>
        <w:tc>
          <w:tcPr>
            <w:tcW w:w="3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jc w:val="both"/>
        <w:ind w:left="540" w:right="120"/>
        <w:spacing w:after="0" w:line="259"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- 10 -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00"/>
          </w:cols>
          <w:pgMar w:left="240" w:top="131" w:right="25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GOODWILL AND INTANGIBLE ASSETS </w:t>
      </w:r>
      <w:r>
        <w:rPr>
          <w:rFonts w:ascii="Arial" w:cs="Arial" w:eastAsia="Arial" w:hAnsi="Arial"/>
          <w:sz w:val="16"/>
          <w:szCs w:val="16"/>
          <w:color w:val="auto"/>
        </w:rPr>
        <w:t>(Continued)</w:t>
      </w:r>
    </w:p>
    <w:p>
      <w:pPr>
        <w:sectPr>
          <w:pgSz w:w="11900" w:h="16838" w:orient="portrait"/>
          <w:cols w:equalWidth="0" w:num="1">
            <w:col w:w="11400"/>
          </w:cols>
          <w:pgMar w:left="240" w:top="131" w:right="259" w:bottom="0" w:gutter="0" w:footer="0" w:header="0"/>
          <w:type w:val="continuous"/>
        </w:sectPr>
      </w:pPr>
    </w:p>
    <w:bookmarkStart w:id="9" w:name="page10"/>
    <w:bookmarkEnd w:id="9"/>
    <w:p>
      <w:pPr>
        <w:ind w:left="540"/>
        <w:spacing w:after="0" w:line="268" w:lineRule="auto"/>
        <w:rPr>
          <w:sz w:val="20"/>
          <w:szCs w:val="20"/>
          <w:color w:val="auto"/>
        </w:rPr>
      </w:pPr>
      <w:r>
        <w:rPr>
          <w:rFonts w:ascii="Arial" w:cs="Arial" w:eastAsia="Arial" w:hAnsi="Arial"/>
          <w:sz w:val="18"/>
          <w:szCs w:val="18"/>
          <w:color w:val="auto"/>
        </w:rPr>
        <w:t>Total amortization expense for the six months ended June 30, 2016 and 2015 was $116 and $145,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3100" w:type="dxa"/>
        <w:tblCellMar>
          <w:top w:w="0" w:type="dxa"/>
          <w:left w:w="0" w:type="dxa"/>
          <w:bottom w:w="0" w:type="dxa"/>
          <w:right w:w="0" w:type="dxa"/>
        </w:tblCellMar>
      </w:tblP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2016 (remainder)</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2017</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212</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2018</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9"/>
        </w:trPr>
        <w:tc>
          <w:tcPr>
            <w:tcW w:w="3060" w:type="dxa"/>
            <w:vAlign w:val="bottom"/>
          </w:tcPr>
          <w:p>
            <w:pPr>
              <w:spacing w:after="0"/>
              <w:rPr>
                <w:sz w:val="20"/>
                <w:szCs w:val="20"/>
                <w:color w:val="auto"/>
              </w:rPr>
            </w:pPr>
            <w:r>
              <w:rPr>
                <w:rFonts w:ascii="Arial" w:cs="Arial" w:eastAsia="Arial" w:hAnsi="Arial"/>
                <w:sz w:val="18"/>
                <w:szCs w:val="18"/>
                <w:color w:val="auto"/>
              </w:rPr>
              <w:t>2020</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During the six months ended June 30, 2016 and 2015, Hakuto Co., Ltd., one of our distributors, accounted for 15% and 12% of our consolidated net revenues, respectively. These revenues were generated by our Thermal Products segment. During the six months ended June 30, 2016, Texas Instruments Incorporated accounted for 11% of our consolidated net revenues. While all three of our operating segments sold products to this customer, these revenues were primarily generated by our Mechanical Products and our Electrical Products segments. No other customers accounted for 10% or more of our consolidated net revenues during the six months ended June 30, 2016 and 2015.</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June 30, 2016 and December 31, 2015 were comprised of the following:</w:t>
      </w:r>
    </w:p>
    <w:p>
      <w:pPr>
        <w:spacing w:after="0" w:line="224"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000" w:type="dxa"/>
            <w:vAlign w:val="bottom"/>
            <w:gridSpan w:val="5"/>
          </w:tcPr>
          <w:p>
            <w:pPr>
              <w:jc w:val="center"/>
              <w:ind w:left="877"/>
              <w:spacing w:after="0"/>
              <w:rPr>
                <w:sz w:val="20"/>
                <w:szCs w:val="20"/>
                <w:color w:val="auto"/>
              </w:rPr>
            </w:pPr>
            <w:r>
              <w:rPr>
                <w:rFonts w:ascii="Arial" w:cs="Arial" w:eastAsia="Arial" w:hAnsi="Arial"/>
                <w:sz w:val="14"/>
                <w:szCs w:val="14"/>
                <w:b w:val="1"/>
                <w:bCs w:val="1"/>
                <w:i w:val="1"/>
                <w:iCs w:val="1"/>
                <w:color w:val="auto"/>
                <w:w w:val="85"/>
              </w:rPr>
              <w:t>June 30,</w:t>
            </w:r>
          </w:p>
        </w:tc>
        <w:tc>
          <w:tcPr>
            <w:tcW w:w="540" w:type="dxa"/>
            <w:vAlign w:val="bottom"/>
            <w:gridSpan w:val="3"/>
          </w:tcPr>
          <w:p>
            <w:pPr>
              <w:jc w:val="center"/>
              <w:ind w:right="60"/>
              <w:spacing w:after="0"/>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3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bottom w:val="single" w:sz="8" w:color="auto"/>
            </w:tcBorders>
            <w:gridSpan w:val="2"/>
          </w:tcPr>
          <w:p>
            <w:pPr>
              <w:jc w:val="right"/>
              <w:ind w:right="12"/>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60" w:type="dxa"/>
            <w:vAlign w:val="bottom"/>
          </w:tcPr>
          <w:p>
            <w:pPr>
              <w:spacing w:after="0"/>
              <w:rPr>
                <w:sz w:val="12"/>
                <w:szCs w:val="12"/>
                <w:color w:val="auto"/>
              </w:rPr>
            </w:pPr>
          </w:p>
        </w:tc>
      </w:tr>
      <w:tr>
        <w:trPr>
          <w:trHeight w:val="235"/>
        </w:trPr>
        <w:tc>
          <w:tcPr>
            <w:tcW w:w="3300" w:type="dxa"/>
            <w:vAlign w:val="bottom"/>
          </w:tcPr>
          <w:p>
            <w:pPr>
              <w:spacing w:after="0"/>
              <w:rPr>
                <w:sz w:val="20"/>
                <w:szCs w:val="20"/>
                <w:color w:val="auto"/>
              </w:rPr>
            </w:pPr>
            <w:r>
              <w:rPr>
                <w:rFonts w:ascii="Arial" w:cs="Arial" w:eastAsia="Arial" w:hAnsi="Arial"/>
                <w:sz w:val="18"/>
                <w:szCs w:val="18"/>
                <w:color w:val="auto"/>
              </w:rPr>
              <w:t>Raw materials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20"/>
                <w:szCs w:val="20"/>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4"/>
              </w:rPr>
              <w:t>$2,535</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Work in process</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422</w:t>
            </w:r>
          </w:p>
        </w:tc>
        <w:tc>
          <w:tcPr>
            <w:tcW w:w="2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295</w:t>
            </w: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Inventory consigned to others</w:t>
            </w: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119</w:t>
            </w:r>
          </w:p>
        </w:tc>
      </w:tr>
      <w:tr>
        <w:trPr>
          <w:trHeight w:val="205"/>
        </w:trPr>
        <w:tc>
          <w:tcPr>
            <w:tcW w:w="3300" w:type="dxa"/>
            <w:vAlign w:val="bottom"/>
          </w:tcPr>
          <w:p>
            <w:pPr>
              <w:spacing w:after="0" w:line="205" w:lineRule="exact"/>
              <w:rPr>
                <w:sz w:val="20"/>
                <w:szCs w:val="20"/>
                <w:color w:val="auto"/>
              </w:rPr>
            </w:pPr>
            <w:r>
              <w:rPr>
                <w:rFonts w:ascii="Arial" w:cs="Arial" w:eastAsia="Arial" w:hAnsi="Arial"/>
                <w:sz w:val="18"/>
                <w:szCs w:val="18"/>
                <w:color w:val="auto"/>
              </w:rPr>
              <w:t>Finished goods</w:t>
            </w:r>
          </w:p>
        </w:tc>
        <w:tc>
          <w:tcPr>
            <w:tcW w:w="1300" w:type="dxa"/>
            <w:vAlign w:val="bottom"/>
            <w:gridSpan w:val="2"/>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434</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571</w:t>
            </w:r>
          </w:p>
        </w:tc>
      </w:tr>
    </w:tbl>
    <w:p>
      <w:pPr>
        <w:spacing w:after="0" w:line="200" w:lineRule="exact"/>
        <w:rPr>
          <w:sz w:val="20"/>
          <w:szCs w:val="20"/>
          <w:color w:val="auto"/>
        </w:rPr>
      </w:pPr>
    </w:p>
    <w:p>
      <w:pPr>
        <w:sectPr>
          <w:pgSz w:w="11900" w:h="16838" w:orient="portrait"/>
          <w:cols w:equalWidth="0" w:num="1">
            <w:col w:w="11400"/>
          </w:cols>
          <w:pgMar w:left="240" w:top="131" w:right="259" w:bottom="76" w:gutter="0" w:footer="0" w:header="0"/>
        </w:sectPr>
      </w:pPr>
    </w:p>
    <w:p>
      <w:pPr>
        <w:spacing w:after="0" w:line="86" w:lineRule="exact"/>
        <w:rPr>
          <w:sz w:val="20"/>
          <w:szCs w:val="20"/>
          <w:color w:val="auto"/>
        </w:rPr>
      </w:pPr>
    </w:p>
    <w:p>
      <w:pPr>
        <w:ind w:left="2760"/>
        <w:spacing w:after="0"/>
        <w:rPr>
          <w:sz w:val="20"/>
          <w:szCs w:val="20"/>
          <w:color w:val="auto"/>
        </w:rPr>
      </w:pPr>
      <w:r>
        <w:rPr>
          <w:rFonts w:ascii="Arial" w:cs="Arial" w:eastAsia="Arial" w:hAnsi="Arial"/>
          <w:sz w:val="12"/>
          <w:szCs w:val="12"/>
          <w:color w:val="auto"/>
        </w:rPr>
        <w:t>Total inventories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u w:val="single" w:color="auto"/>
          <w:color w:val="auto"/>
        </w:rPr>
        <w:t>$3,314</w:t>
      </w:r>
      <w:r>
        <w:rPr>
          <w:sz w:val="20"/>
          <w:szCs w:val="20"/>
          <w:color w:val="auto"/>
        </w:rPr>
        <w:tab/>
      </w:r>
      <w:r>
        <w:rPr>
          <w:rFonts w:ascii="Arial" w:cs="Arial" w:eastAsia="Arial" w:hAnsi="Arial"/>
          <w:sz w:val="15"/>
          <w:szCs w:val="15"/>
          <w:u w:val="single" w:color="auto"/>
          <w:color w:val="auto"/>
        </w:rPr>
        <w:t>$3,520</w:t>
      </w:r>
    </w:p>
    <w:p>
      <w:pPr>
        <w:spacing w:after="0" w:line="200" w:lineRule="exact"/>
        <w:rPr>
          <w:sz w:val="20"/>
          <w:szCs w:val="20"/>
          <w:color w:val="auto"/>
        </w:rPr>
      </w:pPr>
    </w:p>
    <w:p>
      <w:pPr>
        <w:sectPr>
          <w:pgSz w:w="11900" w:h="16838" w:orient="portrait"/>
          <w:cols w:equalWidth="0" w:num="2">
            <w:col w:w="6640" w:space="720"/>
            <w:col w:w="4040"/>
          </w:cols>
          <w:pgMar w:left="240" w:top="131" w:right="259" w:bottom="76"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June 30, 2016 and December 31, 2015 consisted of the following:</w:t>
      </w:r>
    </w:p>
    <w:p>
      <w:pPr>
        <w:spacing w:after="0" w:line="19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7"/>
          </w:tcPr>
          <w:p>
            <w:pPr>
              <w:jc w:val="right"/>
              <w:ind w:right="280"/>
              <w:spacing w:after="0"/>
              <w:rPr>
                <w:sz w:val="20"/>
                <w:szCs w:val="20"/>
                <w:color w:val="auto"/>
              </w:rPr>
            </w:pPr>
            <w:r>
              <w:rPr>
                <w:rFonts w:ascii="Arial" w:cs="Arial" w:eastAsia="Arial" w:hAnsi="Arial"/>
                <w:sz w:val="14"/>
                <w:szCs w:val="14"/>
                <w:b w:val="1"/>
                <w:bCs w:val="1"/>
                <w:i w:val="1"/>
                <w:iCs w:val="1"/>
                <w:color w:val="auto"/>
                <w:w w:val="88"/>
              </w:rPr>
              <w:t>Letters of Credit</w:t>
            </w:r>
          </w:p>
        </w:tc>
      </w:tr>
      <w:tr>
        <w:trPr>
          <w:trHeight w:val="146"/>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Lease</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bottom w:val="single" w:sz="8" w:color="auto"/>
            </w:tcBorders>
            <w:gridSpan w:val="6"/>
          </w:tcPr>
          <w:p>
            <w:pPr>
              <w:ind w:left="60"/>
              <w:spacing w:after="0" w:line="146" w:lineRule="exact"/>
              <w:rPr>
                <w:sz w:val="20"/>
                <w:szCs w:val="20"/>
                <w:color w:val="auto"/>
              </w:rPr>
            </w:pPr>
            <w:r>
              <w:rPr>
                <w:rFonts w:ascii="Arial" w:cs="Arial" w:eastAsia="Arial" w:hAnsi="Arial"/>
                <w:sz w:val="14"/>
                <w:szCs w:val="14"/>
                <w:b w:val="1"/>
                <w:bCs w:val="1"/>
                <w:i w:val="1"/>
                <w:iCs w:val="1"/>
                <w:color w:val="auto"/>
                <w:w w:val="89"/>
              </w:rPr>
              <w:t>Amount Outstanding</w:t>
            </w:r>
          </w:p>
        </w:tc>
        <w:tc>
          <w:tcPr>
            <w:tcW w:w="60" w:type="dxa"/>
            <w:vAlign w:val="bottom"/>
            <w:gridSpan w:val="2"/>
          </w:tcPr>
          <w:p>
            <w:pPr>
              <w:spacing w:after="0"/>
              <w:rPr>
                <w:sz w:val="12"/>
                <w:szCs w:val="12"/>
                <w:color w:val="auto"/>
              </w:rPr>
            </w:pPr>
          </w:p>
        </w:tc>
      </w:tr>
      <w:tr>
        <w:trPr>
          <w:trHeight w:val="158"/>
        </w:trPr>
        <w:tc>
          <w:tcPr>
            <w:tcW w:w="2120" w:type="dxa"/>
            <w:vAlign w:val="bottom"/>
          </w:tcPr>
          <w:p>
            <w:pPr>
              <w:spacing w:after="0"/>
              <w:rPr>
                <w:sz w:val="13"/>
                <w:szCs w:val="13"/>
                <w:color w:val="auto"/>
              </w:rPr>
            </w:pPr>
          </w:p>
        </w:tc>
        <w:tc>
          <w:tcPr>
            <w:tcW w:w="2200" w:type="dxa"/>
            <w:vAlign w:val="bottom"/>
            <w:gridSpan w:val="3"/>
          </w:tcPr>
          <w:p>
            <w:pPr>
              <w:jc w:val="right"/>
              <w:ind w:right="360"/>
              <w:spacing w:after="0" w:line="158" w:lineRule="exact"/>
              <w:rPr>
                <w:sz w:val="20"/>
                <w:szCs w:val="20"/>
                <w:color w:val="auto"/>
              </w:rPr>
            </w:pPr>
            <w:r>
              <w:rPr>
                <w:rFonts w:ascii="Arial" w:cs="Arial" w:eastAsia="Arial" w:hAnsi="Arial"/>
                <w:sz w:val="14"/>
                <w:szCs w:val="14"/>
                <w:b w:val="1"/>
                <w:bCs w:val="1"/>
                <w:i w:val="1"/>
                <w:iCs w:val="1"/>
                <w:color w:val="auto"/>
              </w:rPr>
              <w:t>Original L/C</w:t>
            </w:r>
          </w:p>
        </w:tc>
        <w:tc>
          <w:tcPr>
            <w:tcW w:w="10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1140" w:type="dxa"/>
            <w:vAlign w:val="bottom"/>
            <w:gridSpan w:val="3"/>
          </w:tcPr>
          <w:p>
            <w:pPr>
              <w:ind w:left="240"/>
              <w:spacing w:after="0" w:line="158" w:lineRule="exact"/>
              <w:rPr>
                <w:sz w:val="20"/>
                <w:szCs w:val="20"/>
                <w:color w:val="auto"/>
              </w:rPr>
            </w:pPr>
            <w:r>
              <w:rPr>
                <w:rFonts w:ascii="Arial" w:cs="Arial" w:eastAsia="Arial" w:hAnsi="Arial"/>
                <w:sz w:val="14"/>
                <w:szCs w:val="14"/>
                <w:b w:val="1"/>
                <w:bCs w:val="1"/>
                <w:i w:val="1"/>
                <w:iCs w:val="1"/>
                <w:color w:val="auto"/>
              </w:rPr>
              <w:t>Expiration</w:t>
            </w:r>
          </w:p>
        </w:tc>
        <w:tc>
          <w:tcPr>
            <w:tcW w:w="1120" w:type="dxa"/>
            <w:vAlign w:val="bottom"/>
            <w:gridSpan w:val="6"/>
          </w:tcPr>
          <w:p>
            <w:pPr>
              <w:ind w:left="200"/>
              <w:spacing w:after="0" w:line="158" w:lineRule="exact"/>
              <w:rPr>
                <w:sz w:val="20"/>
                <w:szCs w:val="20"/>
                <w:color w:val="auto"/>
              </w:rPr>
            </w:pPr>
            <w:r>
              <w:rPr>
                <w:rFonts w:ascii="Arial" w:cs="Arial" w:eastAsia="Arial" w:hAnsi="Arial"/>
                <w:sz w:val="14"/>
                <w:szCs w:val="14"/>
                <w:b w:val="1"/>
                <w:bCs w:val="1"/>
                <w:i w:val="1"/>
                <w:iCs w:val="1"/>
                <w:color w:val="auto"/>
              </w:rPr>
              <w:t>June 30,</w:t>
            </w:r>
          </w:p>
        </w:tc>
        <w:tc>
          <w:tcPr>
            <w:tcW w:w="500" w:type="dxa"/>
            <w:vAlign w:val="bottom"/>
            <w:gridSpan w:val="4"/>
          </w:tcPr>
          <w:p>
            <w:pPr>
              <w:jc w:val="right"/>
              <w:ind w:right="40"/>
              <w:spacing w:after="0" w:line="158" w:lineRule="exact"/>
              <w:rPr>
                <w:sz w:val="20"/>
                <w:szCs w:val="20"/>
                <w:color w:val="auto"/>
              </w:rPr>
            </w:pPr>
            <w:r>
              <w:rPr>
                <w:rFonts w:ascii="Arial" w:cs="Arial" w:eastAsia="Arial" w:hAnsi="Arial"/>
                <w:sz w:val="14"/>
                <w:szCs w:val="14"/>
                <w:b w:val="1"/>
                <w:bCs w:val="1"/>
                <w:i w:val="1"/>
                <w:iCs w:val="1"/>
                <w:color w:val="auto"/>
                <w:w w:val="83"/>
              </w:rPr>
              <w:t>Dec. 31,</w:t>
            </w:r>
          </w:p>
        </w:tc>
      </w:tr>
      <w:tr>
        <w:trPr>
          <w:trHeight w:val="146"/>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gridSpan w:val="2"/>
          </w:tcPr>
          <w:p>
            <w:pPr>
              <w:jc w:val="right"/>
              <w:ind w:right="42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140" w:type="dxa"/>
            <w:vAlign w:val="bottom"/>
          </w:tcPr>
          <w:p>
            <w:pPr>
              <w:spacing w:after="0"/>
              <w:rPr>
                <w:sz w:val="12"/>
                <w:szCs w:val="12"/>
                <w:color w:val="auto"/>
              </w:rPr>
            </w:pPr>
          </w:p>
        </w:tc>
        <w:tc>
          <w:tcPr>
            <w:tcW w:w="88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28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680" w:type="dxa"/>
            <w:vAlign w:val="bottom"/>
            <w:gridSpan w:val="4"/>
          </w:tcPr>
          <w:p>
            <w:pPr>
              <w:ind w:left="30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2120" w:type="dxa"/>
            <w:vAlign w:val="bottom"/>
          </w:tcPr>
          <w:p>
            <w:pPr>
              <w:spacing w:after="0"/>
              <w:rPr>
                <w:sz w:val="20"/>
                <w:szCs w:val="20"/>
                <w:color w:val="auto"/>
              </w:rPr>
            </w:pPr>
            <w:r>
              <w:rPr>
                <w:rFonts w:ascii="Arial" w:cs="Arial" w:eastAsia="Arial" w:hAnsi="Arial"/>
                <w:sz w:val="18"/>
                <w:szCs w:val="18"/>
                <w:color w:val="auto"/>
              </w:rPr>
              <w:t>Mt. Laurel, NJ</w:t>
            </w:r>
          </w:p>
        </w:tc>
        <w:tc>
          <w:tcPr>
            <w:tcW w:w="2200" w:type="dxa"/>
            <w:vAlign w:val="bottom"/>
            <w:gridSpan w:val="3"/>
          </w:tcPr>
          <w:p>
            <w:pPr>
              <w:jc w:val="right"/>
              <w:ind w:right="360"/>
              <w:spacing w:after="0"/>
              <w:rPr>
                <w:sz w:val="20"/>
                <w:szCs w:val="20"/>
                <w:color w:val="auto"/>
              </w:rPr>
            </w:pPr>
            <w:r>
              <w:rPr>
                <w:rFonts w:ascii="Arial" w:cs="Arial" w:eastAsia="Arial" w:hAnsi="Arial"/>
                <w:sz w:val="18"/>
                <w:szCs w:val="18"/>
                <w:color w:val="auto"/>
              </w:rPr>
              <w:t>3/29/2010</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3/31/2017</w:t>
            </w:r>
          </w:p>
        </w:tc>
        <w:tc>
          <w:tcPr>
            <w:tcW w:w="1140" w:type="dxa"/>
            <w:vAlign w:val="bottom"/>
            <w:gridSpan w:val="3"/>
          </w:tcPr>
          <w:p>
            <w:pPr>
              <w:ind w:left="220"/>
              <w:spacing w:after="0"/>
              <w:rPr>
                <w:sz w:val="20"/>
                <w:szCs w:val="20"/>
                <w:color w:val="auto"/>
              </w:rPr>
            </w:pPr>
            <w:r>
              <w:rPr>
                <w:rFonts w:ascii="Arial" w:cs="Arial" w:eastAsia="Arial" w:hAnsi="Arial"/>
                <w:sz w:val="18"/>
                <w:szCs w:val="18"/>
                <w:color w:val="auto"/>
              </w:rPr>
              <w:t>4/30/2021</w:t>
            </w: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$125</w:t>
            </w:r>
          </w:p>
        </w:tc>
        <w:tc>
          <w:tcPr>
            <w:tcW w:w="420" w:type="dxa"/>
            <w:vAlign w:val="bottom"/>
          </w:tcPr>
          <w:p>
            <w:pPr>
              <w:spacing w:after="0"/>
              <w:rPr>
                <w:sz w:val="20"/>
                <w:szCs w:val="20"/>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120" w:type="dxa"/>
            <w:vAlign w:val="bottom"/>
          </w:tcPr>
          <w:p>
            <w:pPr>
              <w:spacing w:after="0" w:line="205" w:lineRule="exact"/>
              <w:rPr>
                <w:sz w:val="20"/>
                <w:szCs w:val="20"/>
                <w:color w:val="auto"/>
              </w:rPr>
            </w:pPr>
            <w:r>
              <w:rPr>
                <w:rFonts w:ascii="Arial" w:cs="Arial" w:eastAsia="Arial" w:hAnsi="Arial"/>
                <w:sz w:val="18"/>
                <w:szCs w:val="18"/>
                <w:color w:val="auto"/>
              </w:rPr>
              <w:t>Mansfield, MA</w:t>
            </w:r>
          </w:p>
        </w:tc>
        <w:tc>
          <w:tcPr>
            <w:tcW w:w="2200" w:type="dxa"/>
            <w:vAlign w:val="bottom"/>
            <w:gridSpan w:val="3"/>
          </w:tcPr>
          <w:p>
            <w:pPr>
              <w:jc w:val="right"/>
              <w:ind w:right="360"/>
              <w:spacing w:after="0" w:line="205" w:lineRule="exact"/>
              <w:rPr>
                <w:sz w:val="20"/>
                <w:szCs w:val="20"/>
                <w:color w:val="auto"/>
              </w:rPr>
            </w:pPr>
            <w:r>
              <w:rPr>
                <w:rFonts w:ascii="Arial" w:cs="Arial" w:eastAsia="Arial" w:hAnsi="Arial"/>
                <w:sz w:val="18"/>
                <w:szCs w:val="18"/>
                <w:color w:val="auto"/>
              </w:rPr>
              <w:t>10/27/2010</w:t>
            </w:r>
          </w:p>
        </w:tc>
        <w:tc>
          <w:tcPr>
            <w:tcW w:w="1020" w:type="dxa"/>
            <w:vAlign w:val="bottom"/>
            <w:gridSpan w:val="3"/>
          </w:tcPr>
          <w:p>
            <w:pPr>
              <w:jc w:val="right"/>
              <w:ind w:right="220"/>
              <w:spacing w:after="0" w:line="205" w:lineRule="exact"/>
              <w:rPr>
                <w:sz w:val="20"/>
                <w:szCs w:val="20"/>
                <w:color w:val="auto"/>
              </w:rPr>
            </w:pPr>
            <w:r>
              <w:rPr>
                <w:rFonts w:ascii="Arial" w:cs="Arial" w:eastAsia="Arial" w:hAnsi="Arial"/>
                <w:sz w:val="18"/>
                <w:szCs w:val="18"/>
                <w:color w:val="auto"/>
                <w:w w:val="86"/>
              </w:rPr>
              <w:t>11/08/2016</w:t>
            </w:r>
          </w:p>
        </w:tc>
        <w:tc>
          <w:tcPr>
            <w:tcW w:w="1140" w:type="dxa"/>
            <w:vAlign w:val="bottom"/>
            <w:gridSpan w:val="3"/>
          </w:tcPr>
          <w:p>
            <w:pPr>
              <w:ind w:left="220"/>
              <w:spacing w:after="0" w:line="205" w:lineRule="exact"/>
              <w:rPr>
                <w:sz w:val="20"/>
                <w:szCs w:val="20"/>
                <w:color w:val="auto"/>
              </w:rPr>
            </w:pPr>
            <w:r>
              <w:rPr>
                <w:rFonts w:ascii="Arial" w:cs="Arial" w:eastAsia="Arial" w:hAnsi="Arial"/>
                <w:sz w:val="18"/>
                <w:szCs w:val="18"/>
                <w:color w:val="auto"/>
              </w:rPr>
              <w:t>8/23/2021</w:t>
            </w:r>
          </w:p>
        </w:tc>
        <w:tc>
          <w:tcPr>
            <w:tcW w:w="360" w:type="dxa"/>
            <w:vAlign w:val="bottom"/>
            <w:gridSpan w:val="3"/>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100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2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225</w:t>
            </w:r>
          </w:p>
        </w:tc>
        <w:tc>
          <w:tcPr>
            <w:tcW w:w="42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464"/>
        </w:trPr>
        <w:tc>
          <w:tcPr>
            <w:tcW w:w="21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- 11 -</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91" w:lineRule="exact"/>
        <w:rPr>
          <w:sz w:val="20"/>
          <w:szCs w:val="20"/>
          <w:color w:val="auto"/>
        </w:rPr>
      </w:pPr>
    </w:p>
    <w:p>
      <w:pPr>
        <w:ind w:left="540" w:right="560"/>
        <w:spacing w:after="0" w:line="268" w:lineRule="auto"/>
        <w:rPr>
          <w:sz w:val="20"/>
          <w:szCs w:val="20"/>
          <w:color w:val="auto"/>
        </w:rPr>
      </w:pPr>
      <w:r>
        <w:rPr>
          <w:rFonts w:ascii="Arial" w:cs="Arial" w:eastAsia="Arial" w:hAnsi="Arial"/>
          <w:sz w:val="18"/>
          <w:szCs w:val="18"/>
          <w:color w:val="auto"/>
        </w:rPr>
        <w:t>As of June 30, 2016, we have unvested restricted stock awards and stock options granted under employee stock-based compensation plans that are described more fully in Note 12 to the consolidated financial statements in our 2015 Form 10-K.</w:t>
      </w:r>
    </w:p>
    <w:p>
      <w:pPr>
        <w:spacing w:after="0" w:line="186"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color w:val="auto"/>
        </w:rPr>
        <w:t>As of June 30, 2016, total unrecognized compensation expense related to unvested restricted stock awards and stock options was $317. The weighted average period over which this expense is expected to be recognized is 2.5 years. The following table shows the allocation of the compensation expense we recorded during the three and six months ended June 30, 2016 and 2015, respectively, related to stock-based compensation:</w:t>
      </w:r>
    </w:p>
    <w:p>
      <w:pPr>
        <w:spacing w:after="0" w:line="15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340" w:type="dxa"/>
            <w:vAlign w:val="bottom"/>
            <w:gridSpan w:val="9"/>
          </w:tcPr>
          <w:p>
            <w:pPr>
              <w:jc w:val="center"/>
              <w:ind w:right="8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100" w:type="dxa"/>
            <w:vAlign w:val="bottom"/>
            <w:gridSpan w:val="7"/>
          </w:tcPr>
          <w:p>
            <w:pPr>
              <w:spacing w:after="0"/>
              <w:rPr>
                <w:sz w:val="20"/>
                <w:szCs w:val="20"/>
                <w:color w:val="auto"/>
              </w:rPr>
            </w:pPr>
            <w:r>
              <w:rPr>
                <w:rFonts w:ascii="Arial" w:cs="Arial" w:eastAsia="Arial" w:hAnsi="Arial"/>
                <w:sz w:val="14"/>
                <w:szCs w:val="14"/>
                <w:b w:val="1"/>
                <w:bCs w:val="1"/>
                <w:i w:val="1"/>
                <w:iCs w:val="1"/>
                <w:color w:val="auto"/>
                <w:w w:val="88"/>
              </w:rPr>
              <w:t>Six Months Ended</w:t>
            </w:r>
          </w:p>
        </w:tc>
      </w:tr>
      <w:tr>
        <w:trPr>
          <w:trHeight w:val="146"/>
        </w:trPr>
        <w:tc>
          <w:tcPr>
            <w:tcW w:w="3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20"/>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6"/>
        </w:trPr>
        <w:tc>
          <w:tcPr>
            <w:tcW w:w="3860" w:type="dxa"/>
            <w:vAlign w:val="bottom"/>
          </w:tcPr>
          <w:p>
            <w:pPr>
              <w:spacing w:after="0"/>
              <w:rPr>
                <w:sz w:val="13"/>
                <w:szCs w:val="13"/>
                <w:color w:val="auto"/>
              </w:rPr>
            </w:pPr>
          </w:p>
        </w:tc>
        <w:tc>
          <w:tcPr>
            <w:tcW w:w="1000" w:type="dxa"/>
            <w:vAlign w:val="bottom"/>
            <w:gridSpan w:val="3"/>
          </w:tcPr>
          <w:p>
            <w:pPr>
              <w:jc w:val="right"/>
              <w:ind w:right="72"/>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380" w:type="dxa"/>
            <w:vAlign w:val="bottom"/>
          </w:tcPr>
          <w:p>
            <w:pPr>
              <w:spacing w:after="0"/>
              <w:rPr>
                <w:sz w:val="13"/>
                <w:szCs w:val="13"/>
                <w:color w:val="auto"/>
              </w:rPr>
            </w:pPr>
          </w:p>
        </w:tc>
        <w:tc>
          <w:tcPr>
            <w:tcW w:w="440" w:type="dxa"/>
            <w:vAlign w:val="bottom"/>
            <w:gridSpan w:val="4"/>
          </w:tcPr>
          <w:p>
            <w:pPr>
              <w:jc w:val="right"/>
              <w:ind w:right="140"/>
              <w:spacing w:after="0" w:line="155" w:lineRule="exact"/>
              <w:rPr>
                <w:sz w:val="20"/>
                <w:szCs w:val="20"/>
                <w:color w:val="auto"/>
              </w:rPr>
            </w:pPr>
            <w:r>
              <w:rPr>
                <w:rFonts w:ascii="Arial" w:cs="Arial" w:eastAsia="Arial" w:hAnsi="Arial"/>
                <w:sz w:val="14"/>
                <w:szCs w:val="14"/>
                <w:b w:val="1"/>
                <w:bCs w:val="1"/>
                <w:i w:val="1"/>
                <w:iCs w:val="1"/>
                <w:color w:val="auto"/>
                <w:w w:val="89"/>
              </w:rPr>
              <w:t>2015</w:t>
            </w:r>
          </w:p>
        </w:tc>
        <w:tc>
          <w:tcPr>
            <w:tcW w:w="52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8"/>
                <w:szCs w:val="8"/>
                <w:b w:val="1"/>
                <w:bCs w:val="1"/>
                <w:i w:val="1"/>
                <w:iCs w:val="1"/>
                <w:color w:val="auto"/>
                <w:w w:val="78"/>
              </w:rPr>
              <w:t>2016</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gridSpan w:val="4"/>
          </w:tcPr>
          <w:p>
            <w:pPr>
              <w:jc w:val="right"/>
              <w:ind w:right="120"/>
              <w:spacing w:after="0" w:line="155" w:lineRule="exact"/>
              <w:rPr>
                <w:sz w:val="20"/>
                <w:szCs w:val="20"/>
                <w:color w:val="auto"/>
              </w:rPr>
            </w:pPr>
            <w:r>
              <w:rPr>
                <w:rFonts w:ascii="Arial" w:cs="Arial" w:eastAsia="Arial" w:hAnsi="Arial"/>
                <w:sz w:val="14"/>
                <w:szCs w:val="14"/>
                <w:b w:val="1"/>
                <w:bCs w:val="1"/>
                <w:i w:val="1"/>
                <w:iCs w:val="1"/>
                <w:color w:val="auto"/>
                <w:w w:val="89"/>
              </w:rPr>
              <w:t>2015</w:t>
            </w:r>
          </w:p>
        </w:tc>
      </w:tr>
      <w:tr>
        <w:trPr>
          <w:trHeight w:val="20"/>
        </w:trPr>
        <w:tc>
          <w:tcPr>
            <w:tcW w:w="38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3860" w:type="dxa"/>
            <w:vAlign w:val="bottom"/>
          </w:tcPr>
          <w:p>
            <w:pPr>
              <w:spacing w:after="0"/>
              <w:rPr>
                <w:sz w:val="20"/>
                <w:szCs w:val="20"/>
                <w:color w:val="auto"/>
              </w:rPr>
            </w:pPr>
            <w:r>
              <w:rPr>
                <w:rFonts w:ascii="Arial" w:cs="Arial" w:eastAsia="Arial" w:hAnsi="Arial"/>
                <w:sz w:val="18"/>
                <w:szCs w:val="18"/>
                <w:color w:val="auto"/>
              </w:rPr>
              <w:t>Cost of revenues</w:t>
            </w:r>
          </w:p>
        </w:tc>
        <w:tc>
          <w:tcPr>
            <w:tcW w:w="6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380" w:type="dxa"/>
            <w:vAlign w:val="bottom"/>
          </w:tcPr>
          <w:p>
            <w:pPr>
              <w:spacing w:after="0"/>
              <w:rPr>
                <w:sz w:val="20"/>
                <w:szCs w:val="20"/>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$ 2</w:t>
            </w:r>
          </w:p>
        </w:tc>
        <w:tc>
          <w:tcPr>
            <w:tcW w:w="520" w:type="dxa"/>
            <w:vAlign w:val="bottom"/>
          </w:tcPr>
          <w:p>
            <w:pPr>
              <w:spacing w:after="0"/>
              <w:rPr>
                <w:sz w:val="20"/>
                <w:szCs w:val="20"/>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$ 5</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$ 5</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Selling expense</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1"/>
                <w:szCs w:val="21"/>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3</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21"/>
                <w:szCs w:val="21"/>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8"/>
                <w:szCs w:val="18"/>
                <w:color w:val="auto"/>
              </w:rPr>
              <w:t>5</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05"/>
        </w:trPr>
        <w:tc>
          <w:tcPr>
            <w:tcW w:w="386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680" w:type="dxa"/>
            <w:vAlign w:val="bottom"/>
          </w:tcPr>
          <w:p>
            <w:pPr>
              <w:spacing w:after="0"/>
              <w:rPr>
                <w:sz w:val="17"/>
                <w:szCs w:val="17"/>
                <w:color w:val="auto"/>
              </w:rPr>
            </w:pPr>
          </w:p>
        </w:tc>
        <w:tc>
          <w:tcPr>
            <w:tcW w:w="32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9"/>
              </w:rPr>
              <w:t>132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24</w:t>
            </w:r>
          </w:p>
        </w:tc>
        <w:tc>
          <w:tcPr>
            <w:tcW w:w="520" w:type="dxa"/>
            <w:vAlign w:val="bottom"/>
          </w:tcPr>
          <w:p>
            <w:pPr>
              <w:spacing w:after="0"/>
              <w:rPr>
                <w:sz w:val="17"/>
                <w:szCs w:val="17"/>
                <w:color w:val="auto"/>
              </w:rPr>
            </w:pPr>
          </w:p>
        </w:tc>
        <w:tc>
          <w:tcPr>
            <w:tcW w:w="680" w:type="dxa"/>
            <w:vAlign w:val="bottom"/>
            <w:gridSpan w:val="3"/>
          </w:tcPr>
          <w:p>
            <w:pPr>
              <w:jc w:val="right"/>
              <w:ind w:right="400"/>
              <w:spacing w:after="0" w:line="205" w:lineRule="exact"/>
              <w:rPr>
                <w:sz w:val="20"/>
                <w:szCs w:val="20"/>
                <w:color w:val="auto"/>
              </w:rPr>
            </w:pPr>
            <w:r>
              <w:rPr>
                <w:rFonts w:ascii="Arial" w:cs="Arial" w:eastAsia="Arial" w:hAnsi="Arial"/>
                <w:sz w:val="18"/>
                <w:szCs w:val="18"/>
                <w:color w:val="auto"/>
                <w:w w:val="86"/>
              </w:rPr>
              <w:t>165</w:t>
            </w:r>
          </w:p>
        </w:tc>
        <w:tc>
          <w:tcPr>
            <w:tcW w:w="42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48</w:t>
            </w:r>
          </w:p>
        </w:tc>
      </w:tr>
      <w:tr>
        <w:trPr>
          <w:trHeight w:val="20"/>
        </w:trPr>
        <w:tc>
          <w:tcPr>
            <w:tcW w:w="38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r>
      <w:tr>
        <w:trPr>
          <w:trHeight w:val="223"/>
        </w:trPr>
        <w:tc>
          <w:tcPr>
            <w:tcW w:w="38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4"/>
              </w:rPr>
              <w:t>$</w:t>
            </w:r>
            <w:r>
              <w:rPr>
                <w:rFonts w:ascii="Arial" w:cs="Arial" w:eastAsia="Arial" w:hAnsi="Arial"/>
                <w:sz w:val="18"/>
                <w:szCs w:val="18"/>
                <w:color w:val="auto"/>
                <w:w w:val="74"/>
              </w:rPr>
              <w:t>139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auto"/>
                <w:w w:val="96"/>
              </w:rPr>
              <w:t>$ 31</w:t>
            </w:r>
          </w:p>
        </w:tc>
        <w:tc>
          <w:tcPr>
            <w:tcW w:w="520" w:type="dxa"/>
            <w:vAlign w:val="bottom"/>
          </w:tcPr>
          <w:p>
            <w:pPr>
              <w:spacing w:after="0"/>
              <w:rPr>
                <w:sz w:val="19"/>
                <w:szCs w:val="19"/>
                <w:color w:val="auto"/>
              </w:rPr>
            </w:pPr>
          </w:p>
        </w:tc>
        <w:tc>
          <w:tcPr>
            <w:tcW w:w="680" w:type="dxa"/>
            <w:vAlign w:val="bottom"/>
            <w:gridSpan w:val="3"/>
          </w:tcPr>
          <w:p>
            <w:pPr>
              <w:jc w:val="right"/>
              <w:ind w:right="400"/>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178</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$ 61</w:t>
            </w:r>
          </w:p>
        </w:tc>
      </w:tr>
      <w:tr>
        <w:trPr>
          <w:trHeight w:val="20"/>
        </w:trPr>
        <w:tc>
          <w:tcPr>
            <w:tcW w:w="38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00"/>
          </w:cols>
          <w:pgMar w:left="240" w:top="131" w:right="259" w:bottom="76" w:gutter="0" w:footer="0" w:header="0"/>
          <w:type w:val="continuous"/>
        </w:sectPr>
      </w:pPr>
    </w:p>
    <w:bookmarkStart w:id="10" w:name="page11"/>
    <w:bookmarkEnd w:id="10"/>
    <w:p>
      <w:pPr>
        <w:ind w:left="540"/>
        <w:spacing w:after="0"/>
        <w:rPr>
          <w:sz w:val="20"/>
          <w:szCs w:val="20"/>
          <w:color w:val="auto"/>
        </w:rPr>
      </w:pPr>
      <w:r>
        <w:rPr>
          <w:rFonts w:ascii="Arial" w:cs="Arial" w:eastAsia="Arial" w:hAnsi="Arial"/>
          <w:sz w:val="18"/>
          <w:szCs w:val="18"/>
          <w:color w:val="auto"/>
        </w:rPr>
        <w:t>There was no compensation expense capitalized in the six months ended June 30, 2016 or 2015.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However, during January 2016, we granted 22,500 shares of restricted stock to three of our independent directors which vested 100% upon the re-election of these directors at our annual meeting which took place on June 29, 2016. The total compensation expense related to these shares was $98, and it was all recorded upon the re-election of these directors.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of restricted stock for the six months ended June 30, 2016:</w:t>
      </w:r>
    </w:p>
    <w:p>
      <w:pPr>
        <w:spacing w:after="0" w:line="22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5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5840" w:type="dxa"/>
            <w:vAlign w:val="bottom"/>
          </w:tcPr>
          <w:p>
            <w:pPr>
              <w:spacing w:after="0"/>
              <w:rPr>
                <w:sz w:val="12"/>
                <w:szCs w:val="12"/>
                <w:color w:val="auto"/>
              </w:rPr>
            </w:pPr>
          </w:p>
        </w:tc>
        <w:tc>
          <w:tcPr>
            <w:tcW w:w="7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i w:val="1"/>
                <w:iCs w:val="1"/>
                <w:color w:val="auto"/>
                <w:w w:val="79"/>
              </w:rPr>
              <w:t>Number</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5840" w:type="dxa"/>
            <w:vAlign w:val="bottom"/>
          </w:tcPr>
          <w:p>
            <w:pPr>
              <w:spacing w:after="0"/>
              <w:rPr>
                <w:sz w:val="12"/>
                <w:szCs w:val="12"/>
                <w:color w:val="auto"/>
              </w:rPr>
            </w:pPr>
          </w:p>
        </w:tc>
        <w:tc>
          <w:tcPr>
            <w:tcW w:w="700" w:type="dxa"/>
            <w:vAlign w:val="bottom"/>
            <w:gridSpan w:val="3"/>
          </w:tcPr>
          <w:p>
            <w:pPr>
              <w:jc w:val="center"/>
              <w:ind w:right="240"/>
              <w:spacing w:after="0" w:line="146" w:lineRule="exact"/>
              <w:rPr>
                <w:sz w:val="20"/>
                <w:szCs w:val="20"/>
                <w:color w:val="auto"/>
              </w:rPr>
            </w:pPr>
            <w:r>
              <w:rPr>
                <w:rFonts w:ascii="Arial" w:cs="Arial" w:eastAsia="Arial" w:hAnsi="Arial"/>
                <w:sz w:val="14"/>
                <w:szCs w:val="14"/>
                <w:b w:val="1"/>
                <w:bCs w:val="1"/>
                <w:i w:val="1"/>
                <w:iCs w:val="1"/>
                <w:color w:val="auto"/>
                <w:w w:val="72"/>
              </w:rPr>
              <w:t>of Shares</w:t>
            </w:r>
          </w:p>
        </w:tc>
        <w:tc>
          <w:tcPr>
            <w:tcW w:w="68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58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35"/>
        </w:trPr>
        <w:tc>
          <w:tcPr>
            <w:tcW w:w="5840" w:type="dxa"/>
            <w:vAlign w:val="bottom"/>
          </w:tcPr>
          <w:p>
            <w:pPr>
              <w:spacing w:after="0"/>
              <w:rPr>
                <w:sz w:val="20"/>
                <w:szCs w:val="20"/>
                <w:color w:val="auto"/>
              </w:rPr>
            </w:pPr>
            <w:r>
              <w:rPr>
                <w:rFonts w:ascii="Arial" w:cs="Arial" w:eastAsia="Arial" w:hAnsi="Arial"/>
                <w:sz w:val="18"/>
                <w:szCs w:val="18"/>
                <w:color w:val="auto"/>
              </w:rPr>
              <w:t>Unvested shares outstanding, January 1, 2016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63,750</w:t>
            </w:r>
          </w:p>
        </w:tc>
        <w:tc>
          <w:tcPr>
            <w:tcW w:w="12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58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63,900</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840" w:type="dxa"/>
            <w:vAlign w:val="bottom"/>
          </w:tcPr>
          <w:p>
            <w:pPr>
              <w:ind w:left="140"/>
              <w:spacing w:after="0"/>
              <w:rPr>
                <w:sz w:val="20"/>
                <w:szCs w:val="20"/>
                <w:color w:val="auto"/>
              </w:rPr>
            </w:pPr>
            <w:r>
              <w:rPr>
                <w:rFonts w:ascii="Arial" w:cs="Arial" w:eastAsia="Arial" w:hAnsi="Arial"/>
                <w:sz w:val="18"/>
                <w:szCs w:val="18"/>
                <w:color w:val="auto"/>
              </w:rPr>
              <w:t>Vested</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w w:val="89"/>
              </w:rPr>
              <w:t>(35,625)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3.92</w:t>
            </w:r>
          </w:p>
        </w:tc>
      </w:tr>
      <w:tr>
        <w:trPr>
          <w:trHeight w:val="205"/>
        </w:trPr>
        <w:tc>
          <w:tcPr>
            <w:tcW w:w="584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58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Unvested shares outstanding, June 30, 2016</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92,025</w:t>
            </w:r>
          </w:p>
        </w:tc>
        <w:tc>
          <w:tcPr>
            <w:tcW w:w="1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4.04</w:t>
            </w:r>
          </w:p>
        </w:tc>
      </w:tr>
    </w:tbl>
    <w:p>
      <w:pPr>
        <w:spacing w:after="0" w:line="248"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The total fair value of the shares that vested during the six months ended June 30, 2016 and 2015 was $138 and $59, respectively, as of the vesting dates of these shares.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STOCK-BASED COMPENSATION </w:t>
      </w:r>
      <w:r>
        <w:rPr>
          <w:rFonts w:ascii="Arial" w:cs="Arial" w:eastAsia="Arial" w:hAnsi="Arial"/>
          <w:sz w:val="18"/>
          <w:szCs w:val="18"/>
          <w:color w:val="auto"/>
        </w:rPr>
        <w:t>(Continued)</w:t>
      </w:r>
    </w:p>
    <w:p>
      <w:pPr>
        <w:spacing w:after="0" w:line="19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The fair value for stock options granted during the first six months of 2016 was estimated at the date of grant using the Black-Scholes option pricing model with the following weighted average assumptions:</w:t>
      </w:r>
    </w:p>
    <w:p>
      <w:pPr>
        <w:spacing w:after="0" w:line="200" w:lineRule="exact"/>
        <w:rPr>
          <w:sz w:val="20"/>
          <w:szCs w:val="20"/>
          <w:color w:val="auto"/>
        </w:rPr>
      </w:pPr>
    </w:p>
    <w:p>
      <w:pPr>
        <w:spacing w:after="0" w:line="243"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7280" w:type="dxa"/>
            <w:vAlign w:val="bottom"/>
          </w:tcPr>
          <w:p>
            <w:pPr>
              <w:ind w:left="1680"/>
              <w:spacing w:after="0"/>
              <w:rPr>
                <w:sz w:val="20"/>
                <w:szCs w:val="20"/>
                <w:color w:val="auto"/>
              </w:rPr>
            </w:pPr>
            <w:r>
              <w:rPr>
                <w:rFonts w:ascii="Arial" w:cs="Arial" w:eastAsia="Arial" w:hAnsi="Arial"/>
                <w:sz w:val="18"/>
                <w:szCs w:val="18"/>
                <w:color w:val="auto"/>
              </w:rPr>
              <w:t>Risk-free interest rate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7280" w:type="dxa"/>
            <w:vAlign w:val="bottom"/>
          </w:tcPr>
          <w:p>
            <w:pPr>
              <w:ind w:left="1680"/>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7280" w:type="dxa"/>
            <w:vAlign w:val="bottom"/>
          </w:tcPr>
          <w:p>
            <w:pPr>
              <w:ind w:left="1680"/>
              <w:spacing w:after="0"/>
              <w:rPr>
                <w:sz w:val="20"/>
                <w:szCs w:val="20"/>
                <w:color w:val="auto"/>
              </w:rPr>
            </w:pPr>
            <w:r>
              <w:rPr>
                <w:rFonts w:ascii="Arial" w:cs="Arial" w:eastAsia="Arial" w:hAnsi="Arial"/>
                <w:sz w:val="18"/>
                <w:szCs w:val="18"/>
                <w:color w:val="auto"/>
              </w:rPr>
              <w:t>Expected common stock market price volatility factor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7280" w:type="dxa"/>
            <w:vAlign w:val="bottom"/>
          </w:tcPr>
          <w:p>
            <w:pPr>
              <w:ind w:left="1680"/>
              <w:spacing w:after="0"/>
              <w:rPr>
                <w:sz w:val="20"/>
                <w:szCs w:val="20"/>
                <w:color w:val="auto"/>
              </w:rPr>
            </w:pPr>
            <w:r>
              <w:rPr>
                <w:rFonts w:ascii="Arial" w:cs="Arial" w:eastAsia="Arial" w:hAnsi="Arial"/>
                <w:sz w:val="18"/>
                <w:szCs w:val="18"/>
                <w:color w:val="auto"/>
              </w:rPr>
              <w:t>Weighted average expected life of stock options (years)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89"/>
        </w:trPr>
        <w:tc>
          <w:tcPr>
            <w:tcW w:w="7920" w:type="dxa"/>
            <w:vAlign w:val="bottom"/>
            <w:gridSpan w:val="5"/>
          </w:tcPr>
          <w:p>
            <w:pPr>
              <w:spacing w:after="0"/>
              <w:rPr>
                <w:sz w:val="20"/>
                <w:szCs w:val="20"/>
                <w:color w:val="auto"/>
              </w:rPr>
            </w:pPr>
            <w:r>
              <w:rPr>
                <w:rFonts w:ascii="Arial" w:cs="Arial" w:eastAsia="Arial" w:hAnsi="Arial"/>
                <w:sz w:val="18"/>
                <w:szCs w:val="18"/>
                <w:color w:val="auto"/>
                <w:w w:val="88"/>
              </w:rPr>
              <w:t>The per share weighted average fair value of stock options issued during the first six months of 2016 was $1.43.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7920" w:type="dxa"/>
            <w:vAlign w:val="bottom"/>
            <w:gridSpan w:val="5"/>
          </w:tcPr>
          <w:p>
            <w:pPr>
              <w:spacing w:after="0"/>
              <w:rPr>
                <w:sz w:val="20"/>
                <w:szCs w:val="20"/>
                <w:color w:val="auto"/>
              </w:rPr>
            </w:pPr>
            <w:r>
              <w:rPr>
                <w:rFonts w:ascii="Arial" w:cs="Arial" w:eastAsia="Arial" w:hAnsi="Arial"/>
                <w:sz w:val="18"/>
                <w:szCs w:val="18"/>
                <w:color w:val="auto"/>
                <w:w w:val="92"/>
              </w:rPr>
              <w:t>The following table summarizes the activity related to stock options for the six months ended June 30, 2016: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69"/>
        </w:trPr>
        <w:tc>
          <w:tcPr>
            <w:tcW w:w="7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7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7280" w:type="dxa"/>
            <w:vAlign w:val="bottom"/>
          </w:tcPr>
          <w:p>
            <w:pPr>
              <w:spacing w:after="0"/>
              <w:rPr>
                <w:sz w:val="12"/>
                <w:szCs w:val="12"/>
                <w:color w:val="auto"/>
              </w:rPr>
            </w:pPr>
          </w:p>
        </w:tc>
        <w:tc>
          <w:tcPr>
            <w:tcW w:w="640" w:type="dxa"/>
            <w:vAlign w:val="bottom"/>
            <w:gridSpan w:val="4"/>
          </w:tcPr>
          <w:p>
            <w:pPr>
              <w:jc w:val="right"/>
              <w:ind w:right="72"/>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800" w:type="dxa"/>
            <w:vAlign w:val="bottom"/>
            <w:gridSpan w:val="3"/>
          </w:tcPr>
          <w:p>
            <w:pPr>
              <w:jc w:val="center"/>
              <w:ind w:left="102"/>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7280" w:type="dxa"/>
            <w:vAlign w:val="bottom"/>
          </w:tcPr>
          <w:p>
            <w:pPr>
              <w:spacing w:after="0"/>
              <w:rPr>
                <w:sz w:val="12"/>
                <w:szCs w:val="12"/>
                <w:color w:val="auto"/>
              </w:rPr>
            </w:pPr>
          </w:p>
        </w:tc>
        <w:tc>
          <w:tcPr>
            <w:tcW w:w="640" w:type="dxa"/>
            <w:vAlign w:val="bottom"/>
            <w:gridSpan w:val="4"/>
          </w:tcPr>
          <w:p>
            <w:pPr>
              <w:jc w:val="right"/>
              <w:ind w:right="32"/>
              <w:spacing w:after="0" w:line="146" w:lineRule="exact"/>
              <w:rPr>
                <w:sz w:val="20"/>
                <w:szCs w:val="20"/>
                <w:color w:val="auto"/>
              </w:rPr>
            </w:pPr>
            <w:r>
              <w:rPr>
                <w:rFonts w:ascii="Arial" w:cs="Arial" w:eastAsia="Arial" w:hAnsi="Arial"/>
                <w:sz w:val="14"/>
                <w:szCs w:val="14"/>
                <w:b w:val="1"/>
                <w:bCs w:val="1"/>
                <w:i w:val="1"/>
                <w:iCs w:val="1"/>
                <w:color w:val="auto"/>
                <w:w w:val="78"/>
              </w:rPr>
              <w:t>of Shares</w:t>
            </w:r>
          </w:p>
        </w:tc>
        <w:tc>
          <w:tcPr>
            <w:tcW w:w="800" w:type="dxa"/>
            <w:vAlign w:val="bottom"/>
            <w:gridSpan w:val="3"/>
          </w:tcPr>
          <w:p>
            <w:pPr>
              <w:jc w:val="center"/>
              <w:ind w:left="122"/>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35"/>
        </w:trPr>
        <w:tc>
          <w:tcPr>
            <w:tcW w:w="7280" w:type="dxa"/>
            <w:vAlign w:val="bottom"/>
          </w:tcPr>
          <w:p>
            <w:pPr>
              <w:ind w:left="1500"/>
              <w:spacing w:after="0"/>
              <w:rPr>
                <w:sz w:val="20"/>
                <w:szCs w:val="20"/>
                <w:color w:val="auto"/>
              </w:rPr>
            </w:pPr>
            <w:r>
              <w:rPr>
                <w:rFonts w:ascii="Arial" w:cs="Arial" w:eastAsia="Arial" w:hAnsi="Arial"/>
                <w:sz w:val="18"/>
                <w:szCs w:val="18"/>
                <w:color w:val="auto"/>
              </w:rPr>
              <w:t>Options outstanding, January 1, 2016 (none exercisable)</w:t>
            </w:r>
          </w:p>
        </w:tc>
        <w:tc>
          <w:tcPr>
            <w:tcW w:w="520" w:type="dxa"/>
            <w:vAlign w:val="bottom"/>
            <w:tcBorders>
              <w:top w:val="single" w:sz="8" w:color="auto"/>
            </w:tcBorders>
            <w:gridSpan w:val="3"/>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280" w:type="dxa"/>
            <w:vAlign w:val="bottom"/>
          </w:tcPr>
          <w:p>
            <w:pPr>
              <w:ind w:left="1640"/>
              <w:spacing w:after="0"/>
              <w:rPr>
                <w:sz w:val="20"/>
                <w:szCs w:val="20"/>
                <w:color w:val="auto"/>
              </w:rPr>
            </w:pPr>
            <w:r>
              <w:rPr>
                <w:rFonts w:ascii="Arial" w:cs="Arial" w:eastAsia="Arial" w:hAnsi="Arial"/>
                <w:sz w:val="18"/>
                <w:szCs w:val="18"/>
                <w:color w:val="auto"/>
              </w:rPr>
              <w:t>Granted</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4.37</w:t>
            </w:r>
          </w:p>
        </w:tc>
      </w:tr>
      <w:tr>
        <w:trPr>
          <w:trHeight w:val="243"/>
        </w:trPr>
        <w:tc>
          <w:tcPr>
            <w:tcW w:w="7280" w:type="dxa"/>
            <w:vAlign w:val="bottom"/>
          </w:tcPr>
          <w:p>
            <w:pPr>
              <w:ind w:left="1640"/>
              <w:spacing w:after="0"/>
              <w:rPr>
                <w:sz w:val="20"/>
                <w:szCs w:val="20"/>
                <w:color w:val="auto"/>
              </w:rPr>
            </w:pPr>
            <w:r>
              <w:rPr>
                <w:rFonts w:ascii="Arial" w:cs="Arial" w:eastAsia="Arial" w:hAnsi="Arial"/>
                <w:sz w:val="18"/>
                <w:szCs w:val="18"/>
                <w:color w:val="auto"/>
              </w:rPr>
              <w:t>Vested</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5"/>
        </w:trPr>
        <w:tc>
          <w:tcPr>
            <w:tcW w:w="7280" w:type="dxa"/>
            <w:vAlign w:val="bottom"/>
          </w:tcPr>
          <w:p>
            <w:pPr>
              <w:ind w:left="1640"/>
              <w:spacing w:after="0" w:line="205" w:lineRule="exact"/>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7"/>
                <w:szCs w:val="17"/>
                <w:color w:val="auto"/>
              </w:rPr>
            </w:pPr>
          </w:p>
        </w:tc>
        <w:tc>
          <w:tcPr>
            <w:tcW w:w="5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ind w:left="1500"/>
              <w:spacing w:after="0"/>
              <w:rPr>
                <w:sz w:val="20"/>
                <w:szCs w:val="20"/>
                <w:color w:val="auto"/>
              </w:rPr>
            </w:pPr>
            <w:r>
              <w:rPr>
                <w:rFonts w:ascii="Arial" w:cs="Arial" w:eastAsia="Arial" w:hAnsi="Arial"/>
                <w:sz w:val="18"/>
                <w:szCs w:val="18"/>
                <w:color w:val="auto"/>
              </w:rPr>
              <w:t>Options outstanding, June 30, 2016 (none exercisable)</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4.37</w:t>
            </w:r>
          </w:p>
        </w:tc>
      </w:tr>
      <w:tr>
        <w:trPr>
          <w:trHeight w:val="20"/>
        </w:trPr>
        <w:tc>
          <w:tcPr>
            <w:tcW w:w="7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REPURCHASE PLAN</w:t>
      </w:r>
    </w:p>
    <w:p>
      <w:pPr>
        <w:spacing w:after="0" w:line="191"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(the "2015 Repurchase Plan"). Repurchases may also be made under a Rule 10b5-1 plan entered into with RW Baird &amp; Co, which permits shares to be repurchased when we might otherwise be precluded from doing so under insider trading laws. The timing and amount of any shares repurchased under the 2015 Repurchase Plan is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is funded using our operating cash flow or available cash.</w:t>
      </w:r>
    </w:p>
    <w:p>
      <w:pPr>
        <w:sectPr>
          <w:pgSz w:w="11900" w:h="16838" w:orient="portrait"/>
          <w:cols w:equalWidth="0" w:num="1">
            <w:col w:w="11400"/>
          </w:cols>
          <w:pgMar w:left="240" w:top="131" w:right="259" w:bottom="0" w:gutter="0" w:footer="0" w:header="0"/>
        </w:sectPr>
      </w:pPr>
    </w:p>
    <w:bookmarkStart w:id="11" w:name="page12"/>
    <w:bookmarkEnd w:id="11"/>
    <w:p>
      <w:pPr>
        <w:jc w:val="both"/>
        <w:ind w:left="540"/>
        <w:spacing w:after="0" w:line="306" w:lineRule="auto"/>
        <w:rPr>
          <w:sz w:val="20"/>
          <w:szCs w:val="20"/>
          <w:color w:val="auto"/>
        </w:rPr>
      </w:pPr>
      <w:r>
        <w:rPr>
          <w:rFonts w:ascii="Arial" w:cs="Arial" w:eastAsia="Arial" w:hAnsi="Arial"/>
          <w:sz w:val="16"/>
          <w:szCs w:val="16"/>
          <w:color w:val="auto"/>
        </w:rPr>
        <w:t>During the six months ended June 30, 2016, we repurchased 190,725 shares under this repurchase plan at a cost of $770, which includes fees paid to our broker of $5. As of June 30, 2016, we had repurchased a total of 232,057 shares under this repurchase plan at a cost of $925, which included fees paid to our broker of $6. All of the repurchased shares were retired. The 2015 Repurchase Plan was suspended in May 2016.</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91"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We have a defined contribution 401(k) plan for our employees who work in the U.S.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six months ended June 30, 2016 and 2015, we recorded $249 and $239 of expense for matching contributions, respectively.</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three reportable segments, which are also our reporting units: Thermal Products, Mechanical Products and Electrical Products.</w:t>
      </w: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post-warranty service and support.</w:t>
      </w:r>
    </w:p>
    <w:p>
      <w:pPr>
        <w:spacing w:after="0" w:line="161" w:lineRule="exact"/>
        <w:rPr>
          <w:sz w:val="20"/>
          <w:szCs w:val="20"/>
          <w:color w:val="auto"/>
        </w:rPr>
      </w:pPr>
    </w:p>
    <w:p>
      <w:pPr>
        <w:ind w:left="540" w:right="440"/>
        <w:spacing w:after="0" w:line="332" w:lineRule="auto"/>
        <w:rPr>
          <w:sz w:val="20"/>
          <w:szCs w:val="20"/>
          <w:color w:val="auto"/>
        </w:rPr>
      </w:pPr>
      <w:r>
        <w:rPr>
          <w:rFonts w:ascii="Arial" w:cs="Arial" w:eastAsia="Arial" w:hAnsi="Arial"/>
          <w:sz w:val="16"/>
          <w:szCs w:val="16"/>
          <w:color w:val="auto"/>
        </w:rPr>
        <w:t>The Mechanical Products segment includes the operations of our Mt. Laurel, New Jersey manufacturing facility. Sales of our Mechanical Products segment consist primarily of manipulator and docking hardware products, which we design, manufacture and market.</w:t>
      </w:r>
    </w:p>
    <w:p>
      <w:pPr>
        <w:spacing w:after="0" w:line="139"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11"/>
          </w:tcPr>
          <w:p>
            <w:pPr>
              <w:jc w:val="center"/>
              <w:ind w:right="240"/>
              <w:spacing w:after="0"/>
              <w:rPr>
                <w:sz w:val="20"/>
                <w:szCs w:val="20"/>
                <w:color w:val="auto"/>
              </w:rPr>
            </w:pPr>
            <w:r>
              <w:rPr>
                <w:rFonts w:ascii="Arial" w:cs="Arial" w:eastAsia="Arial" w:hAnsi="Arial"/>
                <w:sz w:val="14"/>
                <w:szCs w:val="14"/>
                <w:b w:val="1"/>
                <w:bCs w:val="1"/>
                <w:i w:val="1"/>
                <w:iCs w:val="1"/>
                <w:color w:val="auto"/>
                <w:w w:val="85"/>
              </w:rPr>
              <w:t>Three Months Ended</w:t>
            </w:r>
          </w:p>
        </w:tc>
        <w:tc>
          <w:tcPr>
            <w:tcW w:w="100" w:type="dxa"/>
            <w:vAlign w:val="bottom"/>
          </w:tcPr>
          <w:p>
            <w:pPr>
              <w:spacing w:after="0"/>
              <w:rPr>
                <w:sz w:val="14"/>
                <w:szCs w:val="14"/>
                <w:color w:val="auto"/>
              </w:rPr>
            </w:pPr>
          </w:p>
        </w:tc>
        <w:tc>
          <w:tcPr>
            <w:tcW w:w="1420" w:type="dxa"/>
            <w:vAlign w:val="bottom"/>
            <w:gridSpan w:val="10"/>
          </w:tcPr>
          <w:p>
            <w:pPr>
              <w:jc w:val="center"/>
              <w:ind w:right="160"/>
              <w:spacing w:after="0"/>
              <w:rPr>
                <w:sz w:val="20"/>
                <w:szCs w:val="20"/>
                <w:color w:val="auto"/>
              </w:rPr>
            </w:pPr>
            <w:r>
              <w:rPr>
                <w:rFonts w:ascii="Arial" w:cs="Arial" w:eastAsia="Arial" w:hAnsi="Arial"/>
                <w:sz w:val="14"/>
                <w:szCs w:val="14"/>
                <w:b w:val="1"/>
                <w:bCs w:val="1"/>
                <w:i w:val="1"/>
                <w:iCs w:val="1"/>
                <w:color w:val="auto"/>
                <w:w w:val="84"/>
              </w:rPr>
              <w:t>Six Months Ended</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bottom w:val="single" w:sz="8" w:color="auto"/>
            </w:tcBorders>
            <w:gridSpan w:val="7"/>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gridSpan w:val="6"/>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3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0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2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i w:val="1"/>
                <w:iCs w:val="1"/>
                <w:color w:val="auto"/>
                <w:w w:val="76"/>
              </w:rPr>
              <w:t>2016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76"/>
              </w:rPr>
              <w:t>2015</w:t>
            </w:r>
          </w:p>
        </w:tc>
        <w:tc>
          <w:tcPr>
            <w:tcW w:w="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2016</w:t>
            </w:r>
          </w:p>
        </w:tc>
        <w:tc>
          <w:tcPr>
            <w:tcW w:w="8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3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Thermal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$ 5,594</w:t>
            </w:r>
          </w:p>
        </w:tc>
        <w:tc>
          <w:tcPr>
            <w:tcW w:w="1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$ 6,659</w:t>
            </w:r>
          </w:p>
        </w:tc>
        <w:tc>
          <w:tcPr>
            <w:tcW w:w="1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$10,788</w:t>
            </w:r>
          </w:p>
        </w:tc>
        <w:tc>
          <w:tcPr>
            <w:tcW w:w="140" w:type="dxa"/>
            <w:vAlign w:val="bottom"/>
          </w:tcPr>
          <w:p>
            <w:pPr>
              <w:spacing w:after="0"/>
              <w:rPr>
                <w:sz w:val="21"/>
                <w:szCs w:val="21"/>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w w:val="98"/>
              </w:rPr>
              <w:t>$12,376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Mechanical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2,673</w:t>
            </w:r>
          </w:p>
        </w:tc>
        <w:tc>
          <w:tcPr>
            <w:tcW w:w="1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2,487</w:t>
            </w:r>
          </w:p>
        </w:tc>
        <w:tc>
          <w:tcPr>
            <w:tcW w:w="1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4,609</w:t>
            </w:r>
          </w:p>
        </w:tc>
        <w:tc>
          <w:tcPr>
            <w:tcW w:w="140" w:type="dxa"/>
            <w:vAlign w:val="bottom"/>
          </w:tcPr>
          <w:p>
            <w:pPr>
              <w:spacing w:after="0"/>
              <w:rPr>
                <w:sz w:val="21"/>
                <w:szCs w:val="21"/>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4,922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8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00" w:type="dxa"/>
            <w:vAlign w:val="bottom"/>
          </w:tcPr>
          <w:p>
            <w:pPr>
              <w:spacing w:after="0"/>
              <w:rPr>
                <w:sz w:val="17"/>
                <w:szCs w:val="17"/>
                <w:color w:val="auto"/>
              </w:rPr>
            </w:pPr>
          </w:p>
        </w:tc>
        <w:tc>
          <w:tcPr>
            <w:tcW w:w="5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2,218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bottom w:val="single" w:sz="8" w:color="auto"/>
            </w:tcBorders>
            <w:gridSpan w:val="5"/>
          </w:tcPr>
          <w:p>
            <w:pPr>
              <w:jc w:val="right"/>
              <w:spacing w:after="0" w:line="205" w:lineRule="exact"/>
              <w:rPr>
                <w:sz w:val="20"/>
                <w:szCs w:val="20"/>
                <w:color w:val="auto"/>
              </w:rPr>
            </w:pPr>
            <w:r>
              <w:rPr>
                <w:rFonts w:ascii="Arial" w:cs="Arial" w:eastAsia="Arial" w:hAnsi="Arial"/>
                <w:sz w:val="18"/>
                <w:szCs w:val="18"/>
                <w:color w:val="auto"/>
              </w:rPr>
              <w:t>2,413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3,735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4,449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10,485</w:t>
            </w:r>
          </w:p>
        </w:tc>
        <w:tc>
          <w:tcPr>
            <w:tcW w:w="16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11,559</w:t>
            </w:r>
          </w:p>
        </w:tc>
        <w:tc>
          <w:tcPr>
            <w:tcW w:w="1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19,132</w:t>
            </w:r>
          </w:p>
        </w:tc>
        <w:tc>
          <w:tcPr>
            <w:tcW w:w="14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w w:val="97"/>
              </w:rPr>
              <w:t>Earnings (loss) before income tax expense (benefit):</w:t>
            </w:r>
          </w:p>
        </w:tc>
        <w:tc>
          <w:tcPr>
            <w:tcW w:w="6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Thermal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$ 734</w:t>
            </w:r>
          </w:p>
        </w:tc>
        <w:tc>
          <w:tcPr>
            <w:tcW w:w="1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$1,537</w:t>
            </w:r>
          </w:p>
        </w:tc>
        <w:tc>
          <w:tcPr>
            <w:tcW w:w="1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21"/>
                <w:szCs w:val="21"/>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$2,566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Mechanical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1"/>
                <w:szCs w:val="21"/>
                <w:color w:val="auto"/>
              </w:rPr>
            </w:pPr>
          </w:p>
        </w:tc>
        <w:tc>
          <w:tcPr>
            <w:tcW w:w="780" w:type="dxa"/>
            <w:vAlign w:val="bottom"/>
            <w:gridSpan w:val="7"/>
          </w:tcPr>
          <w:p>
            <w:pPr>
              <w:ind w:left="320"/>
              <w:spacing w:after="0"/>
              <w:rPr>
                <w:sz w:val="20"/>
                <w:szCs w:val="20"/>
                <w:color w:val="auto"/>
              </w:rPr>
            </w:pPr>
            <w:r>
              <w:rPr>
                <w:rFonts w:ascii="Arial" w:cs="Arial" w:eastAsia="Arial" w:hAnsi="Arial"/>
                <w:sz w:val="18"/>
                <w:szCs w:val="18"/>
                <w:color w:val="auto"/>
              </w:rPr>
              <w:t>(196)</w:t>
            </w: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(59)</w:t>
            </w: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Electrical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477</w:t>
            </w:r>
          </w:p>
        </w:tc>
        <w:tc>
          <w:tcPr>
            <w:tcW w:w="1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21"/>
                <w:szCs w:val="21"/>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796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8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820" w:type="dxa"/>
            <w:vAlign w:val="bottom"/>
            <w:gridSpan w:val="2"/>
          </w:tcPr>
          <w:p>
            <w:pPr>
              <w:spacing w:after="0"/>
              <w:rPr>
                <w:sz w:val="17"/>
                <w:szCs w:val="17"/>
                <w:color w:val="auto"/>
              </w:rPr>
            </w:pPr>
          </w:p>
        </w:tc>
        <w:tc>
          <w:tcPr>
            <w:tcW w:w="500" w:type="dxa"/>
            <w:vAlign w:val="bottom"/>
            <w:gridSpan w:val="3"/>
          </w:tcPr>
          <w:p>
            <w:pPr>
              <w:ind w:left="20"/>
              <w:spacing w:after="0" w:line="205" w:lineRule="exact"/>
              <w:rPr>
                <w:sz w:val="20"/>
                <w:szCs w:val="20"/>
                <w:color w:val="auto"/>
              </w:rPr>
            </w:pPr>
            <w:r>
              <w:rPr>
                <w:rFonts w:ascii="Arial" w:cs="Arial" w:eastAsia="Arial" w:hAnsi="Arial"/>
                <w:sz w:val="18"/>
                <w:szCs w:val="18"/>
                <w:color w:val="auto"/>
              </w:rPr>
              <w:t>(693)</w:t>
            </w:r>
          </w:p>
        </w:tc>
        <w:tc>
          <w:tcPr>
            <w:tcW w:w="780" w:type="dxa"/>
            <w:vAlign w:val="bottom"/>
            <w:gridSpan w:val="7"/>
          </w:tcPr>
          <w:p>
            <w:pPr>
              <w:ind w:left="320"/>
              <w:spacing w:after="0" w:line="205" w:lineRule="exact"/>
              <w:rPr>
                <w:sz w:val="20"/>
                <w:szCs w:val="20"/>
                <w:color w:val="auto"/>
              </w:rPr>
            </w:pPr>
            <w:r>
              <w:rPr>
                <w:rFonts w:ascii="Arial" w:cs="Arial" w:eastAsia="Arial" w:hAnsi="Arial"/>
                <w:sz w:val="18"/>
                <w:szCs w:val="18"/>
                <w:color w:val="auto"/>
              </w:rPr>
              <w:t>(159)</w:t>
            </w:r>
          </w:p>
        </w:tc>
        <w:tc>
          <w:tcPr>
            <w:tcW w:w="800" w:type="dxa"/>
            <w:vAlign w:val="bottom"/>
            <w:gridSpan w:val="5"/>
          </w:tcPr>
          <w:p>
            <w:pPr>
              <w:jc w:val="right"/>
              <w:ind w:right="80"/>
              <w:spacing w:after="0" w:line="205" w:lineRule="exact"/>
              <w:rPr>
                <w:sz w:val="20"/>
                <w:szCs w:val="20"/>
                <w:color w:val="auto"/>
              </w:rPr>
            </w:pPr>
            <w:r>
              <w:rPr>
                <w:rFonts w:ascii="Arial" w:cs="Arial" w:eastAsia="Arial" w:hAnsi="Arial"/>
                <w:sz w:val="18"/>
                <w:szCs w:val="18"/>
                <w:color w:val="auto"/>
              </w:rPr>
              <w:t>(793)</w:t>
            </w:r>
          </w:p>
        </w:tc>
        <w:tc>
          <w:tcPr>
            <w:tcW w:w="7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$ 749</w:t>
            </w:r>
          </w:p>
        </w:tc>
        <w:tc>
          <w:tcPr>
            <w:tcW w:w="16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1,659</w:t>
            </w:r>
          </w:p>
        </w:tc>
        <w:tc>
          <w:tcPr>
            <w:tcW w:w="1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$ 873</w:t>
            </w:r>
          </w:p>
        </w:tc>
        <w:tc>
          <w:tcPr>
            <w:tcW w:w="14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8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Thermal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$ 476</w:t>
            </w:r>
          </w:p>
        </w:tc>
        <w:tc>
          <w:tcPr>
            <w:tcW w:w="1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$ 849</w:t>
            </w:r>
          </w:p>
        </w:tc>
        <w:tc>
          <w:tcPr>
            <w:tcW w:w="140" w:type="dxa"/>
            <w:vAlign w:val="bottom"/>
          </w:tcPr>
          <w:p>
            <w:pPr>
              <w:spacing w:after="0"/>
              <w:rPr>
                <w:sz w:val="21"/>
                <w:szCs w:val="21"/>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$1,673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Mechanical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1"/>
                <w:szCs w:val="21"/>
                <w:color w:val="auto"/>
              </w:rPr>
            </w:pPr>
          </w:p>
        </w:tc>
        <w:tc>
          <w:tcPr>
            <w:tcW w:w="780" w:type="dxa"/>
            <w:vAlign w:val="bottom"/>
            <w:gridSpan w:val="7"/>
          </w:tcPr>
          <w:p>
            <w:pPr>
              <w:ind w:left="320"/>
              <w:spacing w:after="0"/>
              <w:rPr>
                <w:sz w:val="20"/>
                <w:szCs w:val="20"/>
                <w:color w:val="auto"/>
              </w:rPr>
            </w:pPr>
            <w:r>
              <w:rPr>
                <w:rFonts w:ascii="Arial" w:cs="Arial" w:eastAsia="Arial" w:hAnsi="Arial"/>
                <w:sz w:val="18"/>
                <w:szCs w:val="18"/>
                <w:color w:val="auto"/>
              </w:rPr>
              <w:t>(128)</w:t>
            </w:r>
          </w:p>
        </w:tc>
        <w:tc>
          <w:tcPr>
            <w:tcW w:w="800" w:type="dxa"/>
            <w:vAlign w:val="bottom"/>
            <w:gridSpan w:val="5"/>
          </w:tcPr>
          <w:p>
            <w:pPr>
              <w:jc w:val="right"/>
              <w:ind w:right="80"/>
              <w:spacing w:after="0"/>
              <w:rPr>
                <w:sz w:val="20"/>
                <w:szCs w:val="20"/>
                <w:color w:val="auto"/>
              </w:rPr>
            </w:pPr>
            <w:r>
              <w:rPr>
                <w:rFonts w:ascii="Arial" w:cs="Arial" w:eastAsia="Arial" w:hAnsi="Arial"/>
                <w:sz w:val="18"/>
                <w:szCs w:val="18"/>
                <w:color w:val="auto"/>
              </w:rPr>
              <w:t>(39)</w:t>
            </w:r>
          </w:p>
        </w:tc>
        <w:tc>
          <w:tcPr>
            <w:tcW w:w="720" w:type="dxa"/>
            <w:vAlign w:val="bottom"/>
            <w:gridSpan w:val="6"/>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Electrical Products</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21"/>
                <w:szCs w:val="21"/>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8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820" w:type="dxa"/>
            <w:vAlign w:val="bottom"/>
            <w:gridSpan w:val="2"/>
          </w:tcPr>
          <w:p>
            <w:pPr>
              <w:spacing w:after="0"/>
              <w:rPr>
                <w:sz w:val="17"/>
                <w:szCs w:val="17"/>
                <w:color w:val="auto"/>
              </w:rPr>
            </w:pPr>
          </w:p>
        </w:tc>
        <w:tc>
          <w:tcPr>
            <w:tcW w:w="500" w:type="dxa"/>
            <w:vAlign w:val="bottom"/>
            <w:gridSpan w:val="3"/>
          </w:tcPr>
          <w:p>
            <w:pPr>
              <w:ind w:left="20"/>
              <w:spacing w:after="0" w:line="205" w:lineRule="exact"/>
              <w:rPr>
                <w:sz w:val="20"/>
                <w:szCs w:val="20"/>
                <w:color w:val="auto"/>
              </w:rPr>
            </w:pPr>
            <w:r>
              <w:rPr>
                <w:rFonts w:ascii="Arial" w:cs="Arial" w:eastAsia="Arial" w:hAnsi="Arial"/>
                <w:sz w:val="18"/>
                <w:szCs w:val="18"/>
                <w:color w:val="auto"/>
              </w:rPr>
              <w:t>(450)</w:t>
            </w:r>
          </w:p>
        </w:tc>
        <w:tc>
          <w:tcPr>
            <w:tcW w:w="780" w:type="dxa"/>
            <w:vAlign w:val="bottom"/>
            <w:gridSpan w:val="7"/>
          </w:tcPr>
          <w:p>
            <w:pPr>
              <w:ind w:left="320"/>
              <w:spacing w:after="0" w:line="205" w:lineRule="exact"/>
              <w:rPr>
                <w:sz w:val="20"/>
                <w:szCs w:val="20"/>
                <w:color w:val="auto"/>
              </w:rPr>
            </w:pPr>
            <w:r>
              <w:rPr>
                <w:rFonts w:ascii="Arial" w:cs="Arial" w:eastAsia="Arial" w:hAnsi="Arial"/>
                <w:sz w:val="18"/>
                <w:szCs w:val="18"/>
                <w:color w:val="auto"/>
              </w:rPr>
              <w:t>(104)</w:t>
            </w:r>
          </w:p>
        </w:tc>
        <w:tc>
          <w:tcPr>
            <w:tcW w:w="800" w:type="dxa"/>
            <w:vAlign w:val="bottom"/>
            <w:gridSpan w:val="5"/>
          </w:tcPr>
          <w:p>
            <w:pPr>
              <w:jc w:val="right"/>
              <w:ind w:right="80"/>
              <w:spacing w:after="0" w:line="205" w:lineRule="exact"/>
              <w:rPr>
                <w:sz w:val="20"/>
                <w:szCs w:val="20"/>
                <w:color w:val="auto"/>
              </w:rPr>
            </w:pPr>
            <w:r>
              <w:rPr>
                <w:rFonts w:ascii="Arial" w:cs="Arial" w:eastAsia="Arial" w:hAnsi="Arial"/>
                <w:sz w:val="18"/>
                <w:szCs w:val="18"/>
                <w:color w:val="auto"/>
              </w:rPr>
              <w:t>(515)</w:t>
            </w:r>
          </w:p>
        </w:tc>
        <w:tc>
          <w:tcPr>
            <w:tcW w:w="72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$ 486</w:t>
            </w:r>
          </w:p>
        </w:tc>
        <w:tc>
          <w:tcPr>
            <w:tcW w:w="160" w:type="dxa"/>
            <w:vAlign w:val="bottom"/>
          </w:tcPr>
          <w:p>
            <w:pPr>
              <w:spacing w:after="0"/>
              <w:rPr>
                <w:sz w:val="19"/>
                <w:szCs w:val="19"/>
                <w:color w:val="auto"/>
              </w:rPr>
            </w:pPr>
          </w:p>
        </w:tc>
        <w:tc>
          <w:tcPr>
            <w:tcW w:w="64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1,080</w:t>
            </w:r>
          </w:p>
        </w:tc>
        <w:tc>
          <w:tcPr>
            <w:tcW w:w="1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$ 567</w:t>
            </w:r>
          </w:p>
        </w:tc>
        <w:tc>
          <w:tcPr>
            <w:tcW w:w="140" w:type="dxa"/>
            <w:vAlign w:val="bottom"/>
          </w:tcPr>
          <w:p>
            <w:pPr>
              <w:spacing w:after="0"/>
              <w:rPr>
                <w:sz w:val="19"/>
                <w:szCs w:val="19"/>
                <w:color w:val="auto"/>
              </w:rPr>
            </w:pPr>
          </w:p>
        </w:tc>
        <w:tc>
          <w:tcPr>
            <w:tcW w:w="6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280"/>
          </w:cols>
          <w:pgMar w:left="240" w:top="347"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NOTES TO CONSOLIDATED FINANCIAL STATEMENTS</w:t>
      </w:r>
    </w:p>
    <w:p>
      <w:pPr>
        <w:sectPr>
          <w:pgSz w:w="11900" w:h="16838" w:orient="portrait"/>
          <w:cols w:equalWidth="0" w:num="1">
            <w:col w:w="11280"/>
          </w:cols>
          <w:pgMar w:left="240" w:top="347" w:right="379" w:bottom="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(Unaudited)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SEGMENT INFORMATION </w:t>
      </w:r>
      <w:r>
        <w:rPr>
          <w:rFonts w:ascii="Arial" w:cs="Arial" w:eastAsia="Arial" w:hAnsi="Arial"/>
          <w:sz w:val="18"/>
          <w:szCs w:val="18"/>
          <w:color w:val="auto"/>
        </w:rPr>
        <w:t>(Continued)</w:t>
      </w:r>
    </w:p>
    <w:p>
      <w:pPr>
        <w:spacing w:after="0" w:line="242" w:lineRule="exact"/>
        <w:rPr>
          <w:sz w:val="20"/>
          <w:szCs w:val="20"/>
          <w:color w:val="auto"/>
        </w:rPr>
      </w:pPr>
    </w:p>
    <w:tbl>
      <w:tblPr>
        <w:tblLayout w:type="fixed"/>
        <w:tblInd w:w="1740" w:type="dxa"/>
        <w:tblCellMar>
          <w:top w:w="0" w:type="dxa"/>
          <w:left w:w="0" w:type="dxa"/>
          <w:bottom w:w="0" w:type="dxa"/>
          <w:right w:w="0" w:type="dxa"/>
        </w:tblCellMar>
      </w:tblPr>
      <w:tr>
        <w:trPr>
          <w:trHeight w:val="172"/>
        </w:trPr>
        <w:tc>
          <w:tcPr>
            <w:tcW w:w="6500" w:type="dxa"/>
            <w:vAlign w:val="bottom"/>
          </w:tcPr>
          <w:p>
            <w:pPr>
              <w:spacing w:after="0"/>
              <w:rPr>
                <w:sz w:val="14"/>
                <w:szCs w:val="14"/>
                <w:color w:val="auto"/>
              </w:rPr>
            </w:pPr>
          </w:p>
        </w:tc>
        <w:tc>
          <w:tcPr>
            <w:tcW w:w="800" w:type="dxa"/>
            <w:vAlign w:val="bottom"/>
            <w:gridSpan w:val="5"/>
          </w:tcPr>
          <w:p>
            <w:pPr>
              <w:jc w:val="center"/>
              <w:ind w:right="240"/>
              <w:spacing w:after="0"/>
              <w:rPr>
                <w:sz w:val="20"/>
                <w:szCs w:val="20"/>
                <w:color w:val="auto"/>
              </w:rPr>
            </w:pPr>
            <w:r>
              <w:rPr>
                <w:rFonts w:ascii="Arial" w:cs="Arial" w:eastAsia="Arial" w:hAnsi="Arial"/>
                <w:sz w:val="14"/>
                <w:szCs w:val="14"/>
                <w:b w:val="1"/>
                <w:bCs w:val="1"/>
                <w:i w:val="1"/>
                <w:iCs w:val="1"/>
                <w:color w:val="auto"/>
                <w:w w:val="85"/>
              </w:rPr>
              <w:t>June 30,</w:t>
            </w:r>
          </w:p>
        </w:tc>
        <w:tc>
          <w:tcPr>
            <w:tcW w:w="40" w:type="dxa"/>
            <w:vAlign w:val="bottom"/>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650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i w:val="1"/>
                <w:iCs w:val="1"/>
                <w:color w:val="auto"/>
              </w:rPr>
              <w:t>2016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i w:val="1"/>
                <w:iCs w:val="1"/>
                <w:color w:val="auto"/>
              </w:rPr>
              <w:t>2015</w:t>
            </w:r>
          </w:p>
        </w:tc>
        <w:tc>
          <w:tcPr>
            <w:tcW w:w="80" w:type="dxa"/>
            <w:vAlign w:val="bottom"/>
          </w:tcPr>
          <w:p>
            <w:pPr>
              <w:spacing w:after="0"/>
              <w:rPr>
                <w:sz w:val="14"/>
                <w:szCs w:val="14"/>
                <w:color w:val="auto"/>
              </w:rPr>
            </w:pPr>
          </w:p>
        </w:tc>
      </w:tr>
      <w:tr>
        <w:trPr>
          <w:trHeight w:val="262"/>
        </w:trPr>
        <w:tc>
          <w:tcPr>
            <w:tcW w:w="650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Thermal Products</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$17,720</w:t>
            </w:r>
          </w:p>
        </w:tc>
        <w:tc>
          <w:tcPr>
            <w:tcW w:w="1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w w:val="92"/>
              </w:rPr>
              <w:t>$16,983</w:t>
            </w:r>
          </w:p>
        </w:tc>
      </w:tr>
      <w:tr>
        <w:trPr>
          <w:trHeight w:val="243"/>
        </w:trPr>
        <w:tc>
          <w:tcPr>
            <w:tcW w:w="6500" w:type="dxa"/>
            <w:vAlign w:val="bottom"/>
          </w:tcPr>
          <w:p>
            <w:pPr>
              <w:spacing w:after="0"/>
              <w:rPr>
                <w:sz w:val="20"/>
                <w:szCs w:val="20"/>
                <w:color w:val="auto"/>
              </w:rPr>
            </w:pPr>
            <w:r>
              <w:rPr>
                <w:rFonts w:ascii="Arial" w:cs="Arial" w:eastAsia="Arial" w:hAnsi="Arial"/>
                <w:sz w:val="18"/>
                <w:szCs w:val="18"/>
                <w:color w:val="auto"/>
              </w:rPr>
              <w:t>Mechanical Products</w:t>
            </w: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18,815</w:t>
            </w:r>
          </w:p>
        </w:tc>
        <w:tc>
          <w:tcPr>
            <w:tcW w:w="1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Arial" w:cs="Arial" w:eastAsia="Arial" w:hAnsi="Arial"/>
                <w:sz w:val="18"/>
                <w:szCs w:val="18"/>
                <w:color w:val="auto"/>
              </w:rPr>
              <w:t>19,733</w:t>
            </w:r>
          </w:p>
        </w:tc>
      </w:tr>
      <w:tr>
        <w:trPr>
          <w:trHeight w:val="205"/>
        </w:trPr>
        <w:tc>
          <w:tcPr>
            <w:tcW w:w="650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00" w:type="dxa"/>
            <w:vAlign w:val="bottom"/>
            <w:gridSpan w:val="2"/>
          </w:tcPr>
          <w:p>
            <w:pPr>
              <w:spacing w:after="0"/>
              <w:rPr>
                <w:sz w:val="17"/>
                <w:szCs w:val="17"/>
                <w:color w:val="auto"/>
              </w:rPr>
            </w:pP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4,072</w:t>
            </w:r>
          </w:p>
        </w:tc>
        <w:tc>
          <w:tcPr>
            <w:tcW w:w="18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5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3,268</w:t>
            </w:r>
          </w:p>
        </w:tc>
      </w:tr>
      <w:tr>
        <w:trPr>
          <w:trHeight w:val="223"/>
        </w:trPr>
        <w:tc>
          <w:tcPr>
            <w:tcW w:w="6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40,607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39,984</w:t>
            </w:r>
          </w:p>
        </w:tc>
      </w:tr>
    </w:tbl>
    <w:p>
      <w:pPr>
        <w:spacing w:after="0" w:line="200" w:lineRule="exact"/>
        <w:rPr>
          <w:sz w:val="20"/>
          <w:szCs w:val="20"/>
          <w:color w:val="auto"/>
        </w:rPr>
      </w:pPr>
    </w:p>
    <w:p>
      <w:pPr>
        <w:spacing w:after="0" w:line="264" w:lineRule="exact"/>
        <w:rPr>
          <w:sz w:val="20"/>
          <w:szCs w:val="20"/>
          <w:color w:val="auto"/>
        </w:rPr>
      </w:pPr>
    </w:p>
    <w:p>
      <w:pPr>
        <w:ind w:left="540" w:right="1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80" w:type="dxa"/>
            <w:vAlign w:val="bottom"/>
            <w:gridSpan w:val="11"/>
          </w:tcPr>
          <w:p>
            <w:pPr>
              <w:jc w:val="right"/>
              <w:ind w:right="160"/>
              <w:spacing w:after="0"/>
              <w:rPr>
                <w:sz w:val="20"/>
                <w:szCs w:val="20"/>
                <w:color w:val="auto"/>
              </w:rPr>
            </w:pPr>
            <w:r>
              <w:rPr>
                <w:rFonts w:ascii="Arial" w:cs="Arial" w:eastAsia="Arial" w:hAnsi="Arial"/>
                <w:sz w:val="14"/>
                <w:szCs w:val="14"/>
                <w:b w:val="1"/>
                <w:bCs w:val="1"/>
                <w:i w:val="1"/>
                <w:iCs w:val="1"/>
                <w:color w:val="auto"/>
                <w:w w:val="86"/>
              </w:rPr>
              <w:t>Three Months Ended</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13"/>
          </w:tcPr>
          <w:p>
            <w:pPr>
              <w:ind w:left="120"/>
              <w:spacing w:after="0"/>
              <w:rPr>
                <w:sz w:val="20"/>
                <w:szCs w:val="20"/>
                <w:color w:val="auto"/>
              </w:rPr>
            </w:pPr>
            <w:r>
              <w:rPr>
                <w:rFonts w:ascii="Arial" w:cs="Arial" w:eastAsia="Arial" w:hAnsi="Arial"/>
                <w:sz w:val="14"/>
                <w:szCs w:val="14"/>
                <w:b w:val="1"/>
                <w:bCs w:val="1"/>
                <w:i w:val="1"/>
                <w:iCs w:val="1"/>
                <w:color w:val="auto"/>
              </w:rPr>
              <w:t>Six Months Ended</w:t>
            </w:r>
          </w:p>
        </w:tc>
      </w:tr>
      <w:tr>
        <w:trPr>
          <w:trHeight w:val="146"/>
        </w:trPr>
        <w:tc>
          <w:tcPr>
            <w:tcW w:w="34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9"/>
          </w:tcPr>
          <w:p>
            <w:pPr>
              <w:ind w:left="200"/>
              <w:spacing w:after="0" w:line="146" w:lineRule="exact"/>
              <w:rPr>
                <w:sz w:val="20"/>
                <w:szCs w:val="20"/>
                <w:color w:val="auto"/>
              </w:rPr>
            </w:pPr>
            <w:r>
              <w:rPr>
                <w:rFonts w:ascii="Arial" w:cs="Arial" w:eastAsia="Arial" w:hAnsi="Arial"/>
                <w:sz w:val="14"/>
                <w:szCs w:val="14"/>
                <w:b w:val="1"/>
                <w:bCs w:val="1"/>
                <w:i w:val="1"/>
                <w:iCs w:val="1"/>
                <w:color w:val="auto"/>
              </w:rPr>
              <w:t>June 30,</w:t>
            </w:r>
          </w:p>
        </w:tc>
        <w:tc>
          <w:tcPr>
            <w:tcW w:w="300" w:type="dxa"/>
            <w:vAlign w:val="bottom"/>
            <w:gridSpan w:val="3"/>
          </w:tcPr>
          <w:p>
            <w:pPr>
              <w:spacing w:after="0"/>
              <w:rPr>
                <w:sz w:val="12"/>
                <w:szCs w:val="12"/>
                <w:color w:val="auto"/>
              </w:rPr>
            </w:pPr>
          </w:p>
        </w:tc>
      </w:tr>
      <w:tr>
        <w:trPr>
          <w:trHeight w:val="156"/>
        </w:trPr>
        <w:tc>
          <w:tcPr>
            <w:tcW w:w="3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100" w:type="dxa"/>
            <w:vAlign w:val="bottom"/>
          </w:tcPr>
          <w:p>
            <w:pPr>
              <w:spacing w:after="0"/>
              <w:rPr>
                <w:sz w:val="13"/>
                <w:szCs w:val="13"/>
                <w:color w:val="auto"/>
              </w:rPr>
            </w:pPr>
          </w:p>
        </w:tc>
        <w:tc>
          <w:tcPr>
            <w:tcW w:w="7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7"/>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35"/>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U.S.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2,903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3,830</w:t>
            </w: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$ 5,630</w:t>
            </w:r>
          </w:p>
        </w:tc>
        <w:tc>
          <w:tcPr>
            <w:tcW w:w="780" w:type="dxa"/>
            <w:vAlign w:val="bottom"/>
            <w:gridSpan w:val="9"/>
          </w:tcPr>
          <w:p>
            <w:pPr>
              <w:jc w:val="right"/>
              <w:spacing w:after="0"/>
              <w:rPr>
                <w:sz w:val="20"/>
                <w:szCs w:val="20"/>
                <w:color w:val="auto"/>
              </w:rPr>
            </w:pPr>
            <w:r>
              <w:rPr>
                <w:rFonts w:ascii="Arial" w:cs="Arial" w:eastAsia="Arial" w:hAnsi="Arial"/>
                <w:sz w:val="18"/>
                <w:szCs w:val="18"/>
                <w:color w:val="auto"/>
              </w:rPr>
              <w:t>$ 7,319</w:t>
            </w:r>
          </w:p>
        </w:tc>
      </w:tr>
      <w:tr>
        <w:trPr>
          <w:trHeight w:val="205"/>
        </w:trPr>
        <w:tc>
          <w:tcPr>
            <w:tcW w:w="34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7,582</w:t>
            </w:r>
          </w:p>
        </w:tc>
        <w:tc>
          <w:tcPr>
            <w:tcW w:w="2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7,729</w:t>
            </w:r>
          </w:p>
        </w:tc>
        <w:tc>
          <w:tcPr>
            <w:tcW w:w="220" w:type="dxa"/>
            <w:vAlign w:val="bottom"/>
            <w:gridSpan w:val="2"/>
          </w:tcPr>
          <w:p>
            <w:pPr>
              <w:spacing w:after="0"/>
              <w:rPr>
                <w:sz w:val="17"/>
                <w:szCs w:val="17"/>
                <w:color w:val="auto"/>
              </w:rPr>
            </w:pPr>
          </w:p>
        </w:tc>
        <w:tc>
          <w:tcPr>
            <w:tcW w:w="5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13,502</w:t>
            </w:r>
          </w:p>
        </w:tc>
        <w:tc>
          <w:tcPr>
            <w:tcW w:w="220" w:type="dxa"/>
            <w:vAlign w:val="bottom"/>
            <w:gridSpan w:val="2"/>
          </w:tcPr>
          <w:p>
            <w:pPr>
              <w:spacing w:after="0"/>
              <w:rPr>
                <w:sz w:val="17"/>
                <w:szCs w:val="17"/>
                <w:color w:val="auto"/>
              </w:rPr>
            </w:pPr>
          </w:p>
        </w:tc>
        <w:tc>
          <w:tcPr>
            <w:tcW w:w="56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w w:val="98"/>
              </w:rPr>
              <w:t>14,428</w:t>
            </w:r>
          </w:p>
        </w:tc>
      </w:tr>
      <w:tr>
        <w:trPr>
          <w:trHeight w:val="223"/>
        </w:trPr>
        <w:tc>
          <w:tcPr>
            <w:tcW w:w="3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10,485</w:t>
            </w:r>
          </w:p>
        </w:tc>
        <w:tc>
          <w:tcPr>
            <w:tcW w:w="2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11,559</w:t>
            </w:r>
          </w:p>
        </w:tc>
        <w:tc>
          <w:tcPr>
            <w:tcW w:w="220" w:type="dxa"/>
            <w:vAlign w:val="bottom"/>
            <w:gridSpan w:val="2"/>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19,132</w:t>
            </w:r>
          </w:p>
        </w:tc>
        <w:tc>
          <w:tcPr>
            <w:tcW w:w="78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21,747</w:t>
            </w:r>
          </w:p>
        </w:tc>
      </w:tr>
      <w:tr>
        <w:trPr>
          <w:trHeight w:val="20"/>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452"/>
        </w:trPr>
        <w:tc>
          <w:tcPr>
            <w:tcW w:w="3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gridSpan w:val="5"/>
          </w:tcPr>
          <w:p>
            <w:pPr>
              <w:jc w:val="right"/>
              <w:ind w:right="100"/>
              <w:spacing w:after="0"/>
              <w:rPr>
                <w:sz w:val="20"/>
                <w:szCs w:val="20"/>
                <w:color w:val="auto"/>
              </w:rPr>
            </w:pPr>
            <w:r>
              <w:rPr>
                <w:rFonts w:ascii="Arial" w:cs="Arial" w:eastAsia="Arial" w:hAnsi="Arial"/>
                <w:sz w:val="14"/>
                <w:szCs w:val="14"/>
                <w:b w:val="1"/>
                <w:bCs w:val="1"/>
                <w:i w:val="1"/>
                <w:iCs w:val="1"/>
                <w:color w:val="auto"/>
                <w:w w:val="89"/>
              </w:rPr>
              <w:t>June 30,</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gridSpan w:val="7"/>
          </w:tcPr>
          <w:p>
            <w:pPr>
              <w:jc w:val="center"/>
              <w:ind w:right="100"/>
              <w:spacing w:after="0"/>
              <w:rPr>
                <w:sz w:val="20"/>
                <w:szCs w:val="20"/>
                <w:color w:val="auto"/>
              </w:rPr>
            </w:pPr>
            <w:r>
              <w:rPr>
                <w:rFonts w:ascii="Arial" w:cs="Arial" w:eastAsia="Arial" w:hAnsi="Arial"/>
                <w:sz w:val="14"/>
                <w:szCs w:val="14"/>
                <w:b w:val="1"/>
                <w:bCs w:val="1"/>
                <w:i w:val="1"/>
                <w:iCs w:val="1"/>
                <w:color w:val="auto"/>
                <w:w w:val="86"/>
              </w:rPr>
              <w:t>Dec. 31,</w:t>
            </w:r>
          </w:p>
        </w:tc>
      </w:tr>
      <w:tr>
        <w:trPr>
          <w:trHeight w:val="163"/>
        </w:trPr>
        <w:tc>
          <w:tcPr>
            <w:tcW w:w="3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ind w:left="320"/>
              <w:spacing w:after="0"/>
              <w:rPr>
                <w:sz w:val="20"/>
                <w:szCs w:val="20"/>
                <w:color w:val="auto"/>
              </w:rPr>
            </w:pPr>
            <w:r>
              <w:rPr>
                <w:rFonts w:ascii="Arial" w:cs="Arial" w:eastAsia="Arial" w:hAnsi="Arial"/>
                <w:sz w:val="14"/>
                <w:szCs w:val="14"/>
                <w:b w:val="1"/>
                <w:bCs w:val="1"/>
                <w:i w:val="1"/>
                <w:iCs w:val="1"/>
                <w:color w:val="auto"/>
              </w:rPr>
              <w:t>2016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7"/>
          </w:tcPr>
          <w:p>
            <w:pPr>
              <w:jc w:val="right"/>
              <w:ind w:right="120"/>
              <w:spacing w:after="0"/>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62"/>
        </w:trPr>
        <w:tc>
          <w:tcPr>
            <w:tcW w:w="34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U.S.</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$ 793</w:t>
            </w:r>
          </w:p>
        </w:tc>
        <w:tc>
          <w:tcPr>
            <w:tcW w:w="780" w:type="dxa"/>
            <w:vAlign w:val="bottom"/>
            <w:gridSpan w:val="9"/>
          </w:tcPr>
          <w:p>
            <w:pPr>
              <w:jc w:val="right"/>
              <w:spacing w:after="0"/>
              <w:rPr>
                <w:sz w:val="20"/>
                <w:szCs w:val="20"/>
                <w:color w:val="auto"/>
              </w:rPr>
            </w:pPr>
            <w:r>
              <w:rPr>
                <w:rFonts w:ascii="Arial" w:cs="Arial" w:eastAsia="Arial" w:hAnsi="Arial"/>
                <w:sz w:val="18"/>
                <w:szCs w:val="18"/>
                <w:color w:val="auto"/>
              </w:rPr>
              <w:t>$  797</w:t>
            </w:r>
          </w:p>
        </w:tc>
      </w:tr>
      <w:tr>
        <w:trPr>
          <w:trHeight w:val="205"/>
        </w:trPr>
        <w:tc>
          <w:tcPr>
            <w:tcW w:w="34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3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184</w:t>
            </w:r>
          </w:p>
        </w:tc>
        <w:tc>
          <w:tcPr>
            <w:tcW w:w="300" w:type="dxa"/>
            <w:vAlign w:val="bottom"/>
            <w:gridSpan w:val="3"/>
          </w:tcPr>
          <w:p>
            <w:pPr>
              <w:spacing w:after="0"/>
              <w:rPr>
                <w:sz w:val="17"/>
                <w:szCs w:val="17"/>
                <w:color w:val="auto"/>
              </w:rPr>
            </w:pPr>
          </w:p>
        </w:tc>
        <w:tc>
          <w:tcPr>
            <w:tcW w:w="480" w:type="dxa"/>
            <w:vAlign w:val="bottom"/>
            <w:tcBorders>
              <w:bottom w:val="single" w:sz="8" w:color="auto"/>
            </w:tcBorders>
            <w:gridSpan w:val="6"/>
          </w:tcPr>
          <w:p>
            <w:pPr>
              <w:jc w:val="right"/>
              <w:spacing w:after="0" w:line="205" w:lineRule="exact"/>
              <w:rPr>
                <w:sz w:val="20"/>
                <w:szCs w:val="20"/>
                <w:color w:val="auto"/>
              </w:rPr>
            </w:pPr>
            <w:r>
              <w:rPr>
                <w:rFonts w:ascii="Arial" w:cs="Arial" w:eastAsia="Arial" w:hAnsi="Arial"/>
                <w:sz w:val="18"/>
                <w:szCs w:val="18"/>
                <w:color w:val="auto"/>
              </w:rPr>
              <w:t>315</w:t>
            </w:r>
          </w:p>
        </w:tc>
      </w:tr>
      <w:tr>
        <w:trPr>
          <w:trHeight w:val="223"/>
        </w:trPr>
        <w:tc>
          <w:tcPr>
            <w:tcW w:w="3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6"/>
          </w:tcPr>
          <w:p>
            <w:pPr>
              <w:jc w:val="right"/>
              <w:spacing w:after="0"/>
              <w:rPr>
                <w:sz w:val="20"/>
                <w:szCs w:val="20"/>
                <w:color w:val="auto"/>
              </w:rPr>
            </w:pPr>
            <w:r>
              <w:rPr>
                <w:rFonts w:ascii="Arial" w:cs="Arial" w:eastAsia="Arial" w:hAnsi="Arial"/>
                <w:sz w:val="18"/>
                <w:szCs w:val="18"/>
                <w:color w:val="auto"/>
              </w:rPr>
              <w:t>$ 977</w:t>
            </w:r>
          </w:p>
        </w:tc>
        <w:tc>
          <w:tcPr>
            <w:tcW w:w="78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1,112</w:t>
            </w:r>
          </w:p>
        </w:tc>
      </w:tr>
      <w:tr>
        <w:trPr>
          <w:trHeight w:val="20"/>
        </w:trPr>
        <w:tc>
          <w:tcPr>
            <w:tcW w:w="3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jc w:val="both"/>
        <w:ind w:left="540" w:right="1720" w:hanging="539"/>
        <w:spacing w:after="0" w:line="478"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in our 2015 Form 10-K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w:t>
      </w:r>
    </w:p>
    <w:p>
      <w:pPr>
        <w:spacing w:after="0" w:line="172"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 in our 2015 Form 10-K. Material changes to such risk factors may be reported in subsequent Quarterly Reports on Form 10-Q in Part II, Item 1A. There have been no such changes from the risk factors set forth in our 2015 Form 10-K.</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ectPr>
          <w:pgSz w:w="11900" w:h="16838" w:orient="portrait"/>
          <w:cols w:equalWidth="0" w:num="1">
            <w:col w:w="11400"/>
          </w:cols>
          <w:pgMar w:left="240" w:top="131" w:right="259" w:bottom="0" w:gutter="0" w:footer="0" w:header="0"/>
        </w:sectPr>
      </w:pPr>
    </w:p>
    <w:bookmarkStart w:id="13" w:name="page14"/>
    <w:bookmarkEnd w:id="13"/>
    <w:p>
      <w:pPr>
        <w:ind w:left="540" w:right="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spacing w:after="0" w:line="307"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6"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w:t>
      </w:r>
    </w:p>
    <w:p>
      <w:pPr>
        <w:spacing w:after="0" w:line="162" w:lineRule="exact"/>
        <w:rPr>
          <w:sz w:val="20"/>
          <w:szCs w:val="20"/>
          <w:color w:val="auto"/>
        </w:rPr>
      </w:pPr>
    </w:p>
    <w:p>
      <w:pPr>
        <w:ind w:left="540" w:right="8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in-house manufacturing activities of OEM manufacturers building certain products we have historically sold to them, including manipulators and docking hardware,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75"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by product segment and market.</w:t>
      </w:r>
    </w:p>
    <w:p>
      <w:pPr>
        <w:spacing w:after="0" w:line="224"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9"/>
              </w:rPr>
              <w:t>Three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jc w:val="center"/>
              <w:ind w:right="200"/>
              <w:spacing w:after="0"/>
              <w:rPr>
                <w:sz w:val="20"/>
                <w:szCs w:val="20"/>
                <w:color w:val="auto"/>
              </w:rPr>
            </w:pPr>
            <w:r>
              <w:rPr>
                <w:rFonts w:ascii="Arial" w:cs="Arial" w:eastAsia="Arial" w:hAnsi="Arial"/>
                <w:sz w:val="14"/>
                <w:szCs w:val="14"/>
                <w:b w:val="1"/>
                <w:bCs w:val="1"/>
                <w:i w:val="1"/>
                <w:iCs w:val="1"/>
                <w:color w:val="auto"/>
                <w:w w:val="89"/>
              </w:rPr>
              <w:t>Three</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4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6"/>
        </w:trPr>
        <w:tc>
          <w:tcPr>
            <w:tcW w:w="2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5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gridSpan w:val="3"/>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23"/>
        </w:trPr>
        <w:tc>
          <w:tcPr>
            <w:tcW w:w="250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2016</w:t>
            </w:r>
          </w:p>
        </w:tc>
        <w:tc>
          <w:tcPr>
            <w:tcW w:w="400" w:type="dxa"/>
            <w:vAlign w:val="bottom"/>
          </w:tcPr>
          <w:p>
            <w:pPr>
              <w:spacing w:after="0"/>
              <w:rPr>
                <w:sz w:val="19"/>
                <w:szCs w:val="19"/>
                <w:color w:val="auto"/>
              </w:rPr>
            </w:pPr>
          </w:p>
        </w:tc>
        <w:tc>
          <w:tcPr>
            <w:tcW w:w="660" w:type="dxa"/>
            <w:vAlign w:val="bottom"/>
            <w:gridSpan w:val="4"/>
          </w:tcPr>
          <w:p>
            <w:pPr>
              <w:jc w:val="right"/>
              <w:ind w:right="280"/>
              <w:spacing w:after="0"/>
              <w:rPr>
                <w:sz w:val="20"/>
                <w:szCs w:val="20"/>
                <w:color w:val="auto"/>
              </w:rPr>
            </w:pPr>
            <w:r>
              <w:rPr>
                <w:rFonts w:ascii="Arial" w:cs="Arial" w:eastAsia="Arial" w:hAnsi="Arial"/>
                <w:sz w:val="14"/>
                <w:szCs w:val="14"/>
                <w:b w:val="1"/>
                <w:bCs w:val="1"/>
                <w:i w:val="1"/>
                <w:iCs w:val="1"/>
                <w:color w:val="auto"/>
              </w:rPr>
              <w:t>2015</w:t>
            </w:r>
          </w:p>
        </w:tc>
        <w:tc>
          <w:tcPr>
            <w:tcW w:w="620" w:type="dxa"/>
            <w:vAlign w:val="bottom"/>
            <w:gridSpan w:val="2"/>
          </w:tcPr>
          <w:p>
            <w:pPr>
              <w:jc w:val="right"/>
              <w:ind w:right="25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50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c>
          <w:tcPr>
            <w:tcW w:w="800" w:type="dxa"/>
            <w:vAlign w:val="bottom"/>
            <w:gridSpan w:val="4"/>
          </w:tcPr>
          <w:p>
            <w:pPr>
              <w:jc w:val="center"/>
              <w:ind w:left="22"/>
              <w:spacing w:after="0"/>
              <w:rPr>
                <w:sz w:val="20"/>
                <w:szCs w:val="20"/>
                <w:color w:val="auto"/>
              </w:rPr>
            </w:pPr>
            <w:r>
              <w:rPr>
                <w:rFonts w:ascii="Arial" w:cs="Arial" w:eastAsia="Arial" w:hAnsi="Arial"/>
                <w:sz w:val="14"/>
                <w:szCs w:val="14"/>
                <w:b w:val="1"/>
                <w:bCs w:val="1"/>
                <w:i w:val="1"/>
                <w:iCs w:val="1"/>
                <w:color w:val="auto"/>
                <w:w w:val="83"/>
              </w:rPr>
              <w:t>2016</w:t>
            </w:r>
          </w:p>
        </w:tc>
        <w:tc>
          <w:tcPr>
            <w:tcW w:w="160" w:type="dxa"/>
            <w:vAlign w:val="bottom"/>
          </w:tcPr>
          <w:p>
            <w:pPr>
              <w:spacing w:after="0"/>
              <w:rPr>
                <w:sz w:val="19"/>
                <w:szCs w:val="19"/>
                <w:color w:val="auto"/>
              </w:rPr>
            </w:pPr>
          </w:p>
        </w:tc>
        <w:tc>
          <w:tcPr>
            <w:tcW w:w="800" w:type="dxa"/>
            <w:vAlign w:val="bottom"/>
            <w:gridSpan w:val="2"/>
          </w:tcPr>
          <w:p>
            <w:pPr>
              <w:jc w:val="right"/>
              <w:ind w:right="39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380" w:type="dxa"/>
            <w:vAlign w:val="bottom"/>
            <w:gridSpan w:val="4"/>
          </w:tcPr>
          <w:p>
            <w:pPr>
              <w:jc w:val="right"/>
              <w:ind w:right="22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250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0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Thermal Products</w:t>
            </w:r>
          </w:p>
        </w:tc>
        <w:tc>
          <w:tcPr>
            <w:tcW w:w="1720" w:type="dxa"/>
            <w:vAlign w:val="bottom"/>
            <w:gridSpan w:val="4"/>
          </w:tcPr>
          <w:p>
            <w:pPr>
              <w:jc w:val="right"/>
              <w:ind w:right="72"/>
              <w:spacing w:after="0"/>
              <w:rPr>
                <w:sz w:val="20"/>
                <w:szCs w:val="20"/>
                <w:color w:val="auto"/>
              </w:rPr>
            </w:pPr>
            <w:r>
              <w:rPr>
                <w:rFonts w:ascii="Arial" w:cs="Arial" w:eastAsia="Arial" w:hAnsi="Arial"/>
                <w:sz w:val="18"/>
                <w:szCs w:val="18"/>
                <w:color w:val="auto"/>
              </w:rPr>
              <w:t>$ 8,186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96"/>
              </w:rPr>
              <w:t>$ 6,064</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w w:val="94"/>
              </w:rPr>
              <w:t>$2,122</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35 %</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$5,116</w:t>
            </w:r>
          </w:p>
        </w:tc>
        <w:tc>
          <w:tcPr>
            <w:tcW w:w="160" w:type="dxa"/>
            <w:vAlign w:val="bottom"/>
          </w:tcPr>
          <w:p>
            <w:pPr>
              <w:spacing w:after="0"/>
              <w:rPr>
                <w:sz w:val="21"/>
                <w:szCs w:val="21"/>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w w:val="98"/>
              </w:rPr>
              <w:t>$3,070</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87"/>
              </w:rPr>
              <w:t>60 %</w:t>
            </w:r>
          </w:p>
        </w:tc>
      </w:tr>
      <w:tr>
        <w:trPr>
          <w:trHeight w:val="243"/>
        </w:trPr>
        <w:tc>
          <w:tcPr>
            <w:tcW w:w="2500" w:type="dxa"/>
            <w:vAlign w:val="bottom"/>
          </w:tcPr>
          <w:p>
            <w:pPr>
              <w:spacing w:after="0"/>
              <w:rPr>
                <w:sz w:val="20"/>
                <w:szCs w:val="20"/>
                <w:color w:val="auto"/>
              </w:rPr>
            </w:pPr>
            <w:r>
              <w:rPr>
                <w:rFonts w:ascii="Arial" w:cs="Arial" w:eastAsia="Arial" w:hAnsi="Arial"/>
                <w:sz w:val="18"/>
                <w:szCs w:val="18"/>
                <w:color w:val="auto"/>
              </w:rPr>
              <w:t>Mechanical Products</w:t>
            </w:r>
          </w:p>
        </w:tc>
        <w:tc>
          <w:tcPr>
            <w:tcW w:w="1720" w:type="dxa"/>
            <w:vAlign w:val="bottom"/>
            <w:gridSpan w:val="4"/>
          </w:tcPr>
          <w:p>
            <w:pPr>
              <w:jc w:val="right"/>
              <w:ind w:right="72"/>
              <w:spacing w:after="0"/>
              <w:rPr>
                <w:sz w:val="20"/>
                <w:szCs w:val="20"/>
                <w:color w:val="auto"/>
              </w:rPr>
            </w:pPr>
            <w:r>
              <w:rPr>
                <w:rFonts w:ascii="Arial" w:cs="Arial" w:eastAsia="Arial" w:hAnsi="Arial"/>
                <w:sz w:val="18"/>
                <w:szCs w:val="18"/>
                <w:color w:val="auto"/>
              </w:rPr>
              <w:t>2,426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1,885</w:t>
            </w:r>
          </w:p>
        </w:tc>
        <w:tc>
          <w:tcPr>
            <w:tcW w:w="620" w:type="dxa"/>
            <w:vAlign w:val="bottom"/>
            <w:gridSpan w:val="2"/>
          </w:tcPr>
          <w:p>
            <w:pPr>
              <w:jc w:val="right"/>
              <w:ind w:right="12"/>
              <w:spacing w:after="0"/>
              <w:rPr>
                <w:sz w:val="20"/>
                <w:szCs w:val="20"/>
                <w:color w:val="auto"/>
              </w:rPr>
            </w:pPr>
            <w:r>
              <w:rPr>
                <w:rFonts w:ascii="Arial" w:cs="Arial" w:eastAsia="Arial" w:hAnsi="Arial"/>
                <w:sz w:val="18"/>
                <w:szCs w:val="18"/>
                <w:color w:val="auto"/>
              </w:rPr>
              <w:t>541</w:t>
            </w:r>
          </w:p>
        </w:tc>
        <w:tc>
          <w:tcPr>
            <w:tcW w:w="500" w:type="dxa"/>
            <w:vAlign w:val="bottom"/>
            <w:gridSpan w:val="4"/>
          </w:tcPr>
          <w:p>
            <w:pPr>
              <w:jc w:val="right"/>
              <w:ind w:right="40"/>
              <w:spacing w:after="0"/>
              <w:rPr>
                <w:sz w:val="20"/>
                <w:szCs w:val="20"/>
                <w:color w:val="auto"/>
              </w:rPr>
            </w:pPr>
            <w:r>
              <w:rPr>
                <w:rFonts w:ascii="Arial" w:cs="Arial" w:eastAsia="Arial" w:hAnsi="Arial"/>
                <w:sz w:val="18"/>
                <w:szCs w:val="18"/>
                <w:color w:val="auto"/>
              </w:rPr>
              <w:t>29 %</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2,625</w:t>
            </w:r>
          </w:p>
        </w:tc>
        <w:tc>
          <w:tcPr>
            <w:tcW w:w="160" w:type="dxa"/>
            <w:vAlign w:val="bottom"/>
          </w:tcPr>
          <w:p>
            <w:pPr>
              <w:spacing w:after="0"/>
              <w:rPr>
                <w:sz w:val="21"/>
                <w:szCs w:val="21"/>
                <w:color w:val="auto"/>
              </w:rPr>
            </w:pPr>
          </w:p>
        </w:tc>
        <w:tc>
          <w:tcPr>
            <w:tcW w:w="800" w:type="dxa"/>
            <w:vAlign w:val="bottom"/>
            <w:gridSpan w:val="2"/>
          </w:tcPr>
          <w:p>
            <w:pPr>
              <w:jc w:val="right"/>
              <w:ind w:right="112"/>
              <w:spacing w:after="0"/>
              <w:rPr>
                <w:sz w:val="20"/>
                <w:szCs w:val="20"/>
                <w:color w:val="auto"/>
              </w:rPr>
            </w:pPr>
            <w:r>
              <w:rPr>
                <w:rFonts w:ascii="Arial" w:cs="Arial" w:eastAsia="Arial" w:hAnsi="Arial"/>
                <w:sz w:val="18"/>
                <w:szCs w:val="18"/>
                <w:color w:val="auto"/>
              </w:rPr>
              <w:t>(199)</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4"/>
              </w:rPr>
              <w:t>(8)%</w:t>
            </w:r>
          </w:p>
        </w:tc>
      </w:tr>
    </w:tbl>
    <w:p>
      <w:pPr>
        <w:sectPr>
          <w:pgSz w:w="11900" w:h="16838" w:orient="portrait"/>
          <w:cols w:equalWidth="0" w:num="1">
            <w:col w:w="11400"/>
          </w:cols>
          <w:pgMar w:left="240" w:top="347" w:right="259" w:bottom="0" w:gutter="0" w:footer="0" w:header="0"/>
        </w:sectPr>
      </w:pPr>
    </w:p>
    <w:bookmarkStart w:id="14" w:name="page15"/>
    <w:bookmarkEnd w:id="14"/>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color w:val="auto"/>
              </w:rPr>
              <w:t>Electrical Products</w:t>
            </w:r>
          </w:p>
        </w:tc>
        <w:tc>
          <w:tcPr>
            <w:tcW w:w="540" w:type="dxa"/>
            <w:vAlign w:val="bottom"/>
          </w:tcPr>
          <w:p>
            <w:pPr>
              <w:jc w:val="right"/>
              <w:spacing w:after="0"/>
              <w:rPr>
                <w:sz w:val="20"/>
                <w:szCs w:val="20"/>
                <w:color w:val="auto"/>
              </w:rPr>
            </w:pPr>
            <w:r>
              <w:rPr>
                <w:rFonts w:ascii="Arial" w:cs="Arial" w:eastAsia="Arial" w:hAnsi="Arial"/>
                <w:sz w:val="18"/>
                <w:szCs w:val="18"/>
                <w:color w:val="auto"/>
              </w:rPr>
              <w:t>1,987</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right"/>
              <w:ind w:right="52"/>
              <w:spacing w:after="0"/>
              <w:rPr>
                <w:sz w:val="20"/>
                <w:szCs w:val="20"/>
                <w:color w:val="auto"/>
              </w:rPr>
            </w:pPr>
            <w:r>
              <w:rPr>
                <w:rFonts w:ascii="Arial" w:cs="Arial" w:eastAsia="Arial" w:hAnsi="Arial"/>
                <w:sz w:val="18"/>
                <w:szCs w:val="18"/>
                <w:color w:val="auto"/>
                <w:w w:val="96"/>
              </w:rPr>
              <w:t>(350) (15)%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2,097</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(110)</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77"/>
        </w:trPr>
        <w:tc>
          <w:tcPr>
            <w:tcW w:w="35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12,599</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10,286</w:t>
            </w: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2,313</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22 %</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2,761</w:t>
            </w:r>
          </w:p>
        </w:tc>
        <w:tc>
          <w:tcPr>
            <w:tcW w:w="5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5"/>
        </w:trPr>
        <w:tc>
          <w:tcPr>
            <w:tcW w:w="3540" w:type="dxa"/>
            <w:vAlign w:val="bottom"/>
          </w:tcPr>
          <w:p>
            <w:pPr>
              <w:spacing w:after="0"/>
              <w:rPr>
                <w:sz w:val="20"/>
                <w:szCs w:val="20"/>
                <w:color w:val="auto"/>
              </w:rPr>
            </w:pPr>
            <w:r>
              <w:rPr>
                <w:rFonts w:ascii="Arial" w:cs="Arial" w:eastAsia="Arial" w:hAnsi="Arial"/>
                <w:sz w:val="18"/>
                <w:szCs w:val="18"/>
                <w:color w:val="auto"/>
              </w:rPr>
              <w:t>ATE market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$ 8,217</w:t>
            </w:r>
          </w:p>
        </w:tc>
        <w:tc>
          <w:tcPr>
            <w:tcW w:w="2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$ 7,646</w:t>
            </w:r>
          </w:p>
        </w:tc>
        <w:tc>
          <w:tcPr>
            <w:tcW w:w="1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571</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7 %</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$7,847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52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05"/>
        </w:trPr>
        <w:tc>
          <w:tcPr>
            <w:tcW w:w="354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40" w:type="dxa"/>
            <w:vAlign w:val="bottom"/>
          </w:tcPr>
          <w:p>
            <w:pPr>
              <w:jc w:val="right"/>
              <w:spacing w:after="0" w:line="205" w:lineRule="exact"/>
              <w:rPr>
                <w:sz w:val="20"/>
                <w:szCs w:val="20"/>
                <w:color w:val="auto"/>
              </w:rPr>
            </w:pPr>
            <w:r>
              <w:rPr>
                <w:rFonts w:ascii="Arial" w:cs="Arial" w:eastAsia="Arial" w:hAnsi="Arial"/>
                <w:sz w:val="18"/>
                <w:szCs w:val="18"/>
                <w:color w:val="auto"/>
              </w:rPr>
              <w:t>4,382</w:t>
            </w:r>
          </w:p>
        </w:tc>
        <w:tc>
          <w:tcPr>
            <w:tcW w:w="22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2,640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w w:val="84"/>
              </w:rPr>
              <w:t>1,742</w:t>
            </w:r>
          </w:p>
        </w:tc>
        <w:tc>
          <w:tcPr>
            <w:tcW w:w="600" w:type="dxa"/>
            <w:vAlign w:val="bottom"/>
          </w:tcPr>
          <w:p>
            <w:pPr>
              <w:jc w:val="right"/>
              <w:ind w:right="52"/>
              <w:spacing w:after="0" w:line="205" w:lineRule="exact"/>
              <w:rPr>
                <w:sz w:val="20"/>
                <w:szCs w:val="20"/>
                <w:color w:val="auto"/>
              </w:rPr>
            </w:pPr>
            <w:r>
              <w:rPr>
                <w:rFonts w:ascii="Arial" w:cs="Arial" w:eastAsia="Arial" w:hAnsi="Arial"/>
                <w:sz w:val="18"/>
                <w:szCs w:val="18"/>
                <w:color w:val="auto"/>
              </w:rPr>
              <w:t>66 %</w:t>
            </w:r>
          </w:p>
        </w:tc>
        <w:tc>
          <w:tcPr>
            <w:tcW w:w="64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1,991</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w w:val="79"/>
              </w:rPr>
              <w:t>2,391</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w w:val="97"/>
              </w:rPr>
              <w:t>120 %</w:t>
            </w:r>
          </w:p>
        </w:tc>
      </w:tr>
      <w:tr>
        <w:trPr>
          <w:trHeight w:val="20"/>
        </w:trPr>
        <w:tc>
          <w:tcPr>
            <w:tcW w:w="3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3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12,599</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10,286</w:t>
            </w:r>
          </w:p>
        </w:tc>
        <w:tc>
          <w:tcPr>
            <w:tcW w:w="14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2,313</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22 %</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9,838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2,761</w:t>
            </w:r>
          </w:p>
        </w:tc>
        <w:tc>
          <w:tcPr>
            <w:tcW w:w="52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0"/>
        </w:trPr>
        <w:tc>
          <w:tcPr>
            <w:tcW w:w="35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16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i w:val="1"/>
                <w:iCs w:val="1"/>
                <w:color w:val="auto"/>
                <w:w w:val="85"/>
              </w:rPr>
              <w:t>Six</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3560" w:type="dxa"/>
            <w:vAlign w:val="bottom"/>
          </w:tcPr>
          <w:p>
            <w:pPr>
              <w:spacing w:after="0"/>
              <w:rPr>
                <w:sz w:val="12"/>
                <w:szCs w:val="12"/>
                <w:color w:val="auto"/>
              </w:rPr>
            </w:pPr>
          </w:p>
        </w:tc>
        <w:tc>
          <w:tcPr>
            <w:tcW w:w="128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6"/>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44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bottom w:val="single" w:sz="8" w:color="auto"/>
            </w:tcBorders>
            <w:gridSpan w:val="4"/>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40" w:type="dxa"/>
            <w:vAlign w:val="bottom"/>
            <w:gridSpan w:val="2"/>
          </w:tcPr>
          <w:p>
            <w:pPr>
              <w:spacing w:after="0"/>
              <w:rPr>
                <w:sz w:val="12"/>
                <w:szCs w:val="12"/>
                <w:color w:val="auto"/>
              </w:rPr>
            </w:pPr>
          </w:p>
        </w:tc>
      </w:tr>
      <w:tr>
        <w:trPr>
          <w:trHeight w:val="223"/>
        </w:trPr>
        <w:tc>
          <w:tcPr>
            <w:tcW w:w="35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1"/>
                <w:szCs w:val="11"/>
                <w:b w:val="1"/>
                <w:bCs w:val="1"/>
                <w:i w:val="1"/>
                <w:iCs w:val="1"/>
                <w:color w:val="auto"/>
                <w:w w:val="73"/>
              </w:rPr>
              <w:t>2015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gridSpan w:val="2"/>
          </w:tcPr>
          <w:p>
            <w:pPr>
              <w:jc w:val="right"/>
              <w:ind w:right="152"/>
              <w:spacing w:after="0"/>
              <w:rPr>
                <w:sz w:val="20"/>
                <w:szCs w:val="20"/>
                <w:color w:val="auto"/>
              </w:rPr>
            </w:pPr>
            <w:r>
              <w:rPr>
                <w:rFonts w:ascii="Arial" w:cs="Arial" w:eastAsia="Arial" w:hAnsi="Arial"/>
                <w:sz w:val="14"/>
                <w:szCs w:val="14"/>
                <w:b w:val="1"/>
                <w:bCs w:val="1"/>
                <w:i w:val="1"/>
                <w:iCs w:val="1"/>
                <w:u w:val="single" w:color="auto"/>
                <w:color w:val="auto"/>
              </w:rPr>
              <w:t>$</w:t>
            </w:r>
          </w:p>
        </w:tc>
        <w:tc>
          <w:tcPr>
            <w:tcW w:w="120" w:type="dxa"/>
            <w:vAlign w:val="bottom"/>
          </w:tcPr>
          <w:p>
            <w:pPr>
              <w:spacing w:after="0"/>
              <w:rPr>
                <w:sz w:val="19"/>
                <w:szCs w:val="19"/>
                <w:color w:val="auto"/>
              </w:rPr>
            </w:pPr>
          </w:p>
        </w:tc>
        <w:tc>
          <w:tcPr>
            <w:tcW w:w="420" w:type="dxa"/>
            <w:vAlign w:val="bottom"/>
            <w:gridSpan w:val="4"/>
          </w:tcPr>
          <w:p>
            <w:pPr>
              <w:jc w:val="right"/>
              <w:ind w:right="180"/>
              <w:spacing w:after="0"/>
              <w:rPr>
                <w:sz w:val="20"/>
                <w:szCs w:val="20"/>
                <w:color w:val="auto"/>
              </w:rPr>
            </w:pPr>
            <w:r>
              <w:rPr>
                <w:rFonts w:ascii="Arial" w:cs="Arial" w:eastAsia="Arial" w:hAnsi="Arial"/>
                <w:sz w:val="14"/>
                <w:szCs w:val="14"/>
                <w:b w:val="1"/>
                <w:bCs w:val="1"/>
                <w:i w:val="1"/>
                <w:iCs w:val="1"/>
                <w:color w:val="auto"/>
              </w:rPr>
              <w:t>%</w:t>
            </w:r>
          </w:p>
        </w:tc>
      </w:tr>
      <w:tr>
        <w:trPr>
          <w:trHeight w:val="235"/>
        </w:trPr>
        <w:tc>
          <w:tcPr>
            <w:tcW w:w="3560" w:type="dxa"/>
            <w:vAlign w:val="bottom"/>
          </w:tcPr>
          <w:p>
            <w:pPr>
              <w:spacing w:after="0"/>
              <w:rPr>
                <w:sz w:val="20"/>
                <w:szCs w:val="20"/>
                <w:color w:val="auto"/>
              </w:rPr>
            </w:pPr>
            <w:r>
              <w:rPr>
                <w:rFonts w:ascii="Arial" w:cs="Arial" w:eastAsia="Arial" w:hAnsi="Arial"/>
                <w:sz w:val="18"/>
                <w:szCs w:val="18"/>
                <w:b w:val="1"/>
                <w:bCs w:val="1"/>
                <w:i w:val="1"/>
                <w:iCs w:val="1"/>
                <w:color w:val="auto"/>
              </w:rPr>
              <w:t>Orders:</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76"/>
              </w:rPr>
              <w:t>$13,302</w:t>
            </w:r>
          </w:p>
        </w:tc>
        <w:tc>
          <w:tcPr>
            <w:tcW w:w="32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w w:val="73"/>
              </w:rPr>
              <w:t>$12,497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5,051</w:t>
            </w:r>
          </w:p>
        </w:tc>
        <w:tc>
          <w:tcPr>
            <w:tcW w:w="32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4,419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w w:val="97"/>
              </w:rPr>
              <w:t>14 %</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2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4,084</w:t>
            </w:r>
          </w:p>
        </w:tc>
        <w:tc>
          <w:tcPr>
            <w:tcW w:w="320" w:type="dxa"/>
            <w:vAlign w:val="bottom"/>
          </w:tcPr>
          <w:p>
            <w:pPr>
              <w:spacing w:after="0"/>
              <w:rPr>
                <w:sz w:val="17"/>
                <w:szCs w:val="17"/>
                <w:color w:val="auto"/>
              </w:rPr>
            </w:pPr>
          </w:p>
        </w:tc>
        <w:tc>
          <w:tcPr>
            <w:tcW w:w="44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w w:val="88"/>
              </w:rPr>
              <w:t>4,801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7"/>
          </w:tcPr>
          <w:p>
            <w:pPr>
              <w:jc w:val="right"/>
              <w:spacing w:after="0" w:line="205" w:lineRule="exact"/>
              <w:rPr>
                <w:sz w:val="20"/>
                <w:szCs w:val="20"/>
                <w:color w:val="auto"/>
              </w:rPr>
            </w:pPr>
            <w:r>
              <w:rPr>
                <w:rFonts w:ascii="Arial" w:cs="Arial" w:eastAsia="Arial" w:hAnsi="Arial"/>
                <w:sz w:val="18"/>
                <w:szCs w:val="18"/>
                <w:color w:val="auto"/>
                <w:w w:val="94"/>
              </w:rPr>
              <w:t>(717) (15)%</w:t>
            </w: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23"/>
        </w:trPr>
        <w:tc>
          <w:tcPr>
            <w:tcW w:w="35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22,437</w:t>
            </w:r>
          </w:p>
        </w:tc>
        <w:tc>
          <w:tcPr>
            <w:tcW w:w="32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21,717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505"/>
        </w:trPr>
        <w:tc>
          <w:tcPr>
            <w:tcW w:w="3560" w:type="dxa"/>
            <w:vAlign w:val="bottom"/>
          </w:tcPr>
          <w:p>
            <w:pPr>
              <w:spacing w:after="0"/>
              <w:rPr>
                <w:sz w:val="20"/>
                <w:szCs w:val="20"/>
                <w:color w:val="auto"/>
              </w:rPr>
            </w:pPr>
            <w:r>
              <w:rPr>
                <w:rFonts w:ascii="Arial" w:cs="Arial" w:eastAsia="Arial" w:hAnsi="Arial"/>
                <w:sz w:val="18"/>
                <w:szCs w:val="18"/>
                <w:color w:val="auto"/>
              </w:rPr>
              <w:t>ATE market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76"/>
              </w:rPr>
              <w:t>$16,064</w:t>
            </w:r>
          </w:p>
        </w:tc>
        <w:tc>
          <w:tcPr>
            <w:tcW w:w="32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color w:val="auto"/>
                <w:w w:val="73"/>
              </w:rPr>
              <w:t>$16,943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(879)</w:t>
            </w: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(5)%</w:t>
            </w:r>
          </w:p>
        </w:tc>
      </w:tr>
      <w:tr>
        <w:trPr>
          <w:trHeight w:val="205"/>
        </w:trPr>
        <w:tc>
          <w:tcPr>
            <w:tcW w:w="35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2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6,373</w:t>
            </w:r>
          </w:p>
        </w:tc>
        <w:tc>
          <w:tcPr>
            <w:tcW w:w="320" w:type="dxa"/>
            <w:vAlign w:val="bottom"/>
          </w:tcPr>
          <w:p>
            <w:pPr>
              <w:spacing w:after="0"/>
              <w:rPr>
                <w:sz w:val="17"/>
                <w:szCs w:val="17"/>
                <w:color w:val="auto"/>
              </w:rPr>
            </w:pPr>
          </w:p>
        </w:tc>
        <w:tc>
          <w:tcPr>
            <w:tcW w:w="44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auto"/>
                <w:w w:val="88"/>
              </w:rPr>
              <w:t>4,774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79"/>
              </w:rPr>
              <w:t>1,599</w:t>
            </w:r>
          </w:p>
        </w:tc>
        <w:tc>
          <w:tcPr>
            <w:tcW w:w="120" w:type="dxa"/>
            <w:vAlign w:val="bottom"/>
          </w:tcPr>
          <w:p>
            <w:pPr>
              <w:spacing w:after="0"/>
              <w:rPr>
                <w:sz w:val="17"/>
                <w:szCs w:val="17"/>
                <w:color w:val="auto"/>
              </w:rPr>
            </w:pPr>
          </w:p>
        </w:tc>
        <w:tc>
          <w:tcPr>
            <w:tcW w:w="420" w:type="dxa"/>
            <w:vAlign w:val="bottom"/>
            <w:gridSpan w:val="4"/>
          </w:tcPr>
          <w:p>
            <w:pPr>
              <w:jc w:val="right"/>
              <w:spacing w:after="0" w:line="205" w:lineRule="exact"/>
              <w:rPr>
                <w:sz w:val="20"/>
                <w:szCs w:val="20"/>
                <w:color w:val="auto"/>
              </w:rPr>
            </w:pPr>
            <w:r>
              <w:rPr>
                <w:rFonts w:ascii="Arial" w:cs="Arial" w:eastAsia="Arial" w:hAnsi="Arial"/>
                <w:sz w:val="18"/>
                <w:szCs w:val="18"/>
                <w:color w:val="auto"/>
                <w:w w:val="97"/>
              </w:rPr>
              <w:t>33 %</w:t>
            </w:r>
          </w:p>
        </w:tc>
      </w:tr>
      <w:tr>
        <w:trPr>
          <w:trHeight w:val="20"/>
        </w:trPr>
        <w:tc>
          <w:tcPr>
            <w:tcW w:w="356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223"/>
        </w:trPr>
        <w:tc>
          <w:tcPr>
            <w:tcW w:w="3560" w:type="dxa"/>
            <w:vAlign w:val="bottom"/>
          </w:tcPr>
          <w:p>
            <w:pPr>
              <w:spacing w:after="0"/>
              <w:rPr>
                <w:sz w:val="19"/>
                <w:szCs w:val="19"/>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22,437</w:t>
            </w:r>
          </w:p>
        </w:tc>
        <w:tc>
          <w:tcPr>
            <w:tcW w:w="32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5"/>
                <w:szCs w:val="15"/>
                <w:u w:val="single" w:color="auto"/>
                <w:color w:val="auto"/>
                <w:w w:val="73"/>
              </w:rPr>
              <w:t>$</w:t>
            </w:r>
            <w:r>
              <w:rPr>
                <w:rFonts w:ascii="Arial" w:cs="Arial" w:eastAsia="Arial" w:hAnsi="Arial"/>
                <w:sz w:val="15"/>
                <w:szCs w:val="15"/>
                <w:color w:val="auto"/>
                <w:w w:val="73"/>
              </w:rPr>
              <w:t>21,717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420" w:type="dxa"/>
            <w:vAlign w:val="bottom"/>
            <w:gridSpan w:val="4"/>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5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Total consolidated orders for the quarter ended June 30, 2016 were $12.6 million compared to $10.3 million for the same period in 2015 and $9.8 million for the quarter ended March 31, 2016. The increase in orders during the second quarter of 2016 is primarily a result of an increase in demand from certain non-ATE market customers of our Thermal Products segment, particularly in the telecommunications and defense/aerospace markets.</w:t>
      </w:r>
    </w:p>
    <w:p>
      <w:pPr>
        <w:spacing w:after="0" w:line="161" w:lineRule="exact"/>
        <w:rPr>
          <w:sz w:val="20"/>
          <w:szCs w:val="20"/>
          <w:color w:val="auto"/>
        </w:rPr>
      </w:pPr>
    </w:p>
    <w:p>
      <w:pPr>
        <w:jc w:val="both"/>
        <w:ind w:left="540"/>
        <w:spacing w:after="0" w:line="291" w:lineRule="auto"/>
        <w:rPr>
          <w:sz w:val="20"/>
          <w:szCs w:val="20"/>
          <w:color w:val="auto"/>
        </w:rPr>
      </w:pPr>
      <w:r>
        <w:rPr>
          <w:rFonts w:ascii="Arial" w:cs="Arial" w:eastAsia="Arial" w:hAnsi="Arial"/>
          <w:sz w:val="16"/>
          <w:szCs w:val="16"/>
          <w:color w:val="auto"/>
        </w:rPr>
        <w:t>At June 30, 2016, our backlog of unfilled orders for all products was approximately $5.7 million compared with approximately $3.8 million at June 30, 2015 and $3.5 million at March 31, 2016. Our backlog includes customer orders which we have accepted, substantially all of which we expect to deliver in 2016.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by product segment and market.</w:t>
      </w:r>
    </w:p>
    <w:p>
      <w:pPr>
        <w:spacing w:after="0" w:line="224"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9"/>
              </w:rPr>
              <w:t>Three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5"/>
          </w:tcPr>
          <w:p>
            <w:pPr>
              <w:jc w:val="center"/>
              <w:ind w:right="480"/>
              <w:spacing w:after="0"/>
              <w:rPr>
                <w:sz w:val="20"/>
                <w:szCs w:val="20"/>
                <w:color w:val="auto"/>
              </w:rPr>
            </w:pPr>
            <w:r>
              <w:rPr>
                <w:rFonts w:ascii="Arial" w:cs="Arial" w:eastAsia="Arial" w:hAnsi="Arial"/>
                <w:sz w:val="14"/>
                <w:szCs w:val="14"/>
                <w:b w:val="1"/>
                <w:bCs w:val="1"/>
                <w:i w:val="1"/>
                <w:iCs w:val="1"/>
                <w:color w:val="auto"/>
                <w:w w:val="83"/>
              </w:rPr>
              <w:t>Three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8"/>
          </w:tcPr>
          <w:p>
            <w:pPr>
              <w:jc w:val="center"/>
              <w:ind w:right="38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4"/>
              </w:rPr>
              <w:t>Months Ended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3"/>
          </w:tcPr>
          <w:p>
            <w:pPr>
              <w:jc w:val="center"/>
              <w:ind w:right="16"/>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auto"/>
            </w:tcBorders>
            <w:gridSpan w:val="4"/>
          </w:tcPr>
          <w:p>
            <w:pPr>
              <w:ind w:left="10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3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March 31,</w:t>
            </w:r>
          </w:p>
        </w:tc>
        <w:tc>
          <w:tcPr>
            <w:tcW w:w="460" w:type="dxa"/>
            <w:vAlign w:val="bottom"/>
          </w:tcPr>
          <w:p>
            <w:pPr>
              <w:spacing w:after="0"/>
              <w:rPr>
                <w:sz w:val="12"/>
                <w:szCs w:val="12"/>
                <w:color w:val="auto"/>
              </w:rPr>
            </w:pPr>
          </w:p>
        </w:tc>
        <w:tc>
          <w:tcPr>
            <w:tcW w:w="640" w:type="dxa"/>
            <w:vAlign w:val="bottom"/>
            <w:tcBorders>
              <w:bottom w:val="single" w:sz="8" w:color="auto"/>
            </w:tcBorders>
            <w:gridSpan w:val="5"/>
          </w:tcPr>
          <w:p>
            <w:pPr>
              <w:ind w:left="60"/>
              <w:spacing w:after="0" w:line="146" w:lineRule="exact"/>
              <w:rPr>
                <w:sz w:val="20"/>
                <w:szCs w:val="20"/>
                <w:color w:val="auto"/>
              </w:rPr>
            </w:pPr>
            <w:r>
              <w:rPr>
                <w:rFonts w:ascii="Arial" w:cs="Arial" w:eastAsia="Arial" w:hAnsi="Arial"/>
                <w:sz w:val="14"/>
                <w:szCs w:val="14"/>
                <w:b w:val="1"/>
                <w:bCs w:val="1"/>
                <w:i w:val="1"/>
                <w:iCs w:val="1"/>
                <w:color w:val="auto"/>
              </w:rPr>
              <w:t>Change</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540" w:type="dxa"/>
            <w:vAlign w:val="bottom"/>
            <w:gridSpan w:val="4"/>
          </w:tcPr>
          <w:p>
            <w:pPr>
              <w:jc w:val="right"/>
              <w:ind w:right="212"/>
              <w:spacing w:after="0" w:line="155" w:lineRule="exact"/>
              <w:rPr>
                <w:sz w:val="20"/>
                <w:szCs w:val="20"/>
                <w:color w:val="auto"/>
              </w:rPr>
            </w:pPr>
            <w:r>
              <w:rPr>
                <w:rFonts w:ascii="Arial" w:cs="Arial" w:eastAsia="Arial" w:hAnsi="Arial"/>
                <w:sz w:val="14"/>
                <w:szCs w:val="14"/>
                <w:b w:val="1"/>
                <w:bCs w:val="1"/>
                <w:i w:val="1"/>
                <w:iCs w:val="1"/>
                <w:color w:val="auto"/>
                <w:w w:val="76"/>
              </w:rPr>
              <w:t>2016</w:t>
            </w:r>
          </w:p>
        </w:tc>
        <w:tc>
          <w:tcPr>
            <w:tcW w:w="16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3"/>
          </w:tcPr>
          <w:p>
            <w:pPr>
              <w:jc w:val="right"/>
              <w:ind w:right="172"/>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120" w:type="dxa"/>
            <w:vAlign w:val="bottom"/>
          </w:tcPr>
          <w:p>
            <w:pPr>
              <w:spacing w:after="0"/>
              <w:rPr>
                <w:sz w:val="13"/>
                <w:szCs w:val="13"/>
                <w:color w:val="auto"/>
              </w:rPr>
            </w:pPr>
          </w:p>
        </w:tc>
        <w:tc>
          <w:tcPr>
            <w:tcW w:w="560" w:type="dxa"/>
            <w:vAlign w:val="bottom"/>
            <w:gridSpan w:val="4"/>
          </w:tcPr>
          <w:p>
            <w:pPr>
              <w:jc w:val="right"/>
              <w:ind w:right="260"/>
              <w:spacing w:after="0" w:line="155" w:lineRule="exact"/>
              <w:rPr>
                <w:sz w:val="20"/>
                <w:szCs w:val="20"/>
                <w:color w:val="auto"/>
              </w:rPr>
            </w:pPr>
            <w:r>
              <w:rPr>
                <w:rFonts w:ascii="Arial" w:cs="Arial" w:eastAsia="Arial" w:hAnsi="Arial"/>
                <w:sz w:val="14"/>
                <w:szCs w:val="14"/>
                <w:b w:val="1"/>
                <w:bCs w:val="1"/>
                <w:i w:val="1"/>
                <w:iCs w:val="1"/>
                <w:color w:val="auto"/>
              </w:rPr>
              <w:t>%</w:t>
            </w:r>
          </w:p>
        </w:tc>
        <w:tc>
          <w:tcPr>
            <w:tcW w:w="600" w:type="dxa"/>
            <w:vAlign w:val="bottom"/>
            <w:gridSpan w:val="3"/>
            <w:vMerge w:val="restart"/>
          </w:tcPr>
          <w:p>
            <w:pPr>
              <w:jc w:val="center"/>
              <w:ind w:left="257"/>
              <w:spacing w:after="0"/>
              <w:rPr>
                <w:sz w:val="20"/>
                <w:szCs w:val="20"/>
                <w:color w:val="auto"/>
              </w:rPr>
            </w:pPr>
            <w:r>
              <w:rPr>
                <w:rFonts w:ascii="Arial" w:cs="Arial" w:eastAsia="Arial" w:hAnsi="Arial"/>
                <w:sz w:val="14"/>
                <w:szCs w:val="14"/>
                <w:b w:val="1"/>
                <w:bCs w:val="1"/>
                <w:i w:val="1"/>
                <w:iCs w:val="1"/>
                <w:color w:val="auto"/>
                <w:w w:val="83"/>
              </w:rPr>
              <w:t>2016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i w:val="1"/>
                <w:iCs w:val="1"/>
                <w:color w:val="auto"/>
                <w:w w:val="76"/>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48"/>
        </w:trPr>
        <w:tc>
          <w:tcPr>
            <w:tcW w:w="37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37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Thermal Products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5,594</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6,659</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w w:val="95"/>
              </w:rPr>
              <w:t>$(1,065)</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(16)%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5"/>
                <w:szCs w:val="15"/>
                <w:color w:val="auto"/>
                <w:w w:val="71"/>
              </w:rPr>
              <w:t>$  400</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Mechanical Products</w:t>
            </w:r>
          </w:p>
        </w:tc>
        <w:tc>
          <w:tcPr>
            <w:tcW w:w="60" w:type="dxa"/>
            <w:vAlign w:val="bottom"/>
          </w:tcPr>
          <w:p>
            <w:pPr>
              <w:spacing w:after="0"/>
              <w:rPr>
                <w:sz w:val="21"/>
                <w:szCs w:val="21"/>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2,673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2,487</w:t>
            </w:r>
          </w:p>
        </w:tc>
        <w:tc>
          <w:tcPr>
            <w:tcW w:w="720" w:type="dxa"/>
            <w:vAlign w:val="bottom"/>
            <w:gridSpan w:val="4"/>
          </w:tcPr>
          <w:p>
            <w:pPr>
              <w:jc w:val="right"/>
              <w:ind w:right="120"/>
              <w:spacing w:after="0"/>
              <w:rPr>
                <w:sz w:val="20"/>
                <w:szCs w:val="20"/>
                <w:color w:val="auto"/>
              </w:rPr>
            </w:pPr>
            <w:r>
              <w:rPr>
                <w:rFonts w:ascii="Arial" w:cs="Arial" w:eastAsia="Arial" w:hAnsi="Arial"/>
                <w:sz w:val="18"/>
                <w:szCs w:val="18"/>
                <w:color w:val="auto"/>
              </w:rPr>
              <w:t>186</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7 %</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1,936</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737</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5"/>
        </w:trPr>
        <w:tc>
          <w:tcPr>
            <w:tcW w:w="370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6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2,218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3"/>
          </w:tcPr>
          <w:p>
            <w:pPr>
              <w:jc w:val="right"/>
              <w:ind w:right="40"/>
              <w:spacing w:after="0" w:line="205" w:lineRule="exact"/>
              <w:rPr>
                <w:sz w:val="20"/>
                <w:szCs w:val="20"/>
                <w:color w:val="auto"/>
              </w:rPr>
            </w:pPr>
            <w:r>
              <w:rPr>
                <w:rFonts w:ascii="Arial" w:cs="Arial" w:eastAsia="Arial" w:hAnsi="Arial"/>
                <w:sz w:val="18"/>
                <w:szCs w:val="18"/>
                <w:color w:val="auto"/>
                <w:w w:val="97"/>
              </w:rPr>
              <w:t>2,413</w:t>
            </w:r>
          </w:p>
        </w:tc>
        <w:tc>
          <w:tcPr>
            <w:tcW w:w="7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(195)</w:t>
            </w:r>
          </w:p>
        </w:tc>
        <w:tc>
          <w:tcPr>
            <w:tcW w:w="56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(8)%</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1,517</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9"/>
              </w:rPr>
              <w:t>701</w:t>
            </w: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10,485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11,559</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(1,074)</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u w:val="single" w:color="auto"/>
                <w:color w:val="auto"/>
                <w:w w:val="75"/>
              </w:rPr>
              <w:t>$</w:t>
            </w:r>
            <w:r>
              <w:rPr>
                <w:rFonts w:ascii="Arial" w:cs="Arial" w:eastAsia="Arial" w:hAnsi="Arial"/>
                <w:sz w:val="13"/>
                <w:szCs w:val="13"/>
                <w:color w:val="auto"/>
                <w:w w:val="75"/>
              </w:rPr>
              <w:t>1,838</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3700" w:type="dxa"/>
            <w:vAlign w:val="bottom"/>
          </w:tcPr>
          <w:p>
            <w:pPr>
              <w:spacing w:after="0"/>
              <w:rPr>
                <w:sz w:val="20"/>
                <w:szCs w:val="20"/>
                <w:color w:val="auto"/>
              </w:rPr>
            </w:pPr>
            <w:r>
              <w:rPr>
                <w:rFonts w:ascii="Arial" w:cs="Arial" w:eastAsia="Arial" w:hAnsi="Arial"/>
                <w:sz w:val="18"/>
                <w:szCs w:val="18"/>
                <w:color w:val="auto"/>
              </w:rPr>
              <w:t>ATE market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7,960</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8,548</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$(588)</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(7)%</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$6,069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w w:val="75"/>
              </w:rPr>
              <w:t>$1,891</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5"/>
        </w:trPr>
        <w:tc>
          <w:tcPr>
            <w:tcW w:w="370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60" w:type="dxa"/>
            <w:vAlign w:val="bottom"/>
          </w:tcPr>
          <w:p>
            <w:pPr>
              <w:spacing w:after="0"/>
              <w:rPr>
                <w:sz w:val="17"/>
                <w:szCs w:val="17"/>
                <w:color w:val="auto"/>
              </w:rPr>
            </w:pPr>
          </w:p>
        </w:tc>
        <w:tc>
          <w:tcPr>
            <w:tcW w:w="48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2,525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gridSpan w:val="3"/>
          </w:tcPr>
          <w:p>
            <w:pPr>
              <w:jc w:val="right"/>
              <w:ind w:right="40"/>
              <w:spacing w:after="0" w:line="205" w:lineRule="exact"/>
              <w:rPr>
                <w:sz w:val="20"/>
                <w:szCs w:val="20"/>
                <w:color w:val="auto"/>
              </w:rPr>
            </w:pPr>
            <w:r>
              <w:rPr>
                <w:rFonts w:ascii="Arial" w:cs="Arial" w:eastAsia="Arial" w:hAnsi="Arial"/>
                <w:sz w:val="18"/>
                <w:szCs w:val="18"/>
                <w:color w:val="auto"/>
                <w:w w:val="97"/>
              </w:rPr>
              <w:t>3,011</w:t>
            </w:r>
          </w:p>
        </w:tc>
        <w:tc>
          <w:tcPr>
            <w:tcW w:w="720" w:type="dxa"/>
            <w:vAlign w:val="bottom"/>
            <w:gridSpan w:val="4"/>
          </w:tcPr>
          <w:p>
            <w:pPr>
              <w:jc w:val="right"/>
              <w:ind w:right="60"/>
              <w:spacing w:after="0" w:line="205" w:lineRule="exact"/>
              <w:rPr>
                <w:sz w:val="20"/>
                <w:szCs w:val="20"/>
                <w:color w:val="auto"/>
              </w:rPr>
            </w:pPr>
            <w:r>
              <w:rPr>
                <w:rFonts w:ascii="Arial" w:cs="Arial" w:eastAsia="Arial" w:hAnsi="Arial"/>
                <w:sz w:val="18"/>
                <w:szCs w:val="18"/>
                <w:color w:val="auto"/>
              </w:rPr>
              <w:t>(486)</w:t>
            </w:r>
          </w:p>
        </w:tc>
        <w:tc>
          <w:tcPr>
            <w:tcW w:w="560" w:type="dxa"/>
            <w:vAlign w:val="bottom"/>
            <w:gridSpan w:val="4"/>
          </w:tcPr>
          <w:p>
            <w:pPr>
              <w:jc w:val="right"/>
              <w:ind w:right="40"/>
              <w:spacing w:after="0" w:line="205" w:lineRule="exact"/>
              <w:rPr>
                <w:sz w:val="20"/>
                <w:szCs w:val="20"/>
                <w:color w:val="auto"/>
              </w:rPr>
            </w:pPr>
            <w:r>
              <w:rPr>
                <w:rFonts w:ascii="Arial" w:cs="Arial" w:eastAsia="Arial" w:hAnsi="Arial"/>
                <w:sz w:val="18"/>
                <w:szCs w:val="18"/>
                <w:color w:val="auto"/>
              </w:rPr>
              <w:t>(16)%</w:t>
            </w:r>
          </w:p>
        </w:tc>
        <w:tc>
          <w:tcPr>
            <w:tcW w:w="8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2,578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gridSpan w:val="3"/>
          </w:tcPr>
          <w:p>
            <w:pPr>
              <w:ind w:left="60"/>
              <w:spacing w:after="0" w:line="205" w:lineRule="exact"/>
              <w:rPr>
                <w:sz w:val="20"/>
                <w:szCs w:val="20"/>
                <w:color w:val="auto"/>
              </w:rPr>
            </w:pPr>
            <w:r>
              <w:rPr>
                <w:rFonts w:ascii="Arial" w:cs="Arial" w:eastAsia="Arial" w:hAnsi="Arial"/>
                <w:sz w:val="18"/>
                <w:szCs w:val="18"/>
                <w:color w:val="auto"/>
              </w:rPr>
              <w:t>(53)</w:t>
            </w: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40" w:type="dxa"/>
            <w:vAlign w:val="bottom"/>
            <w:tcBorders>
              <w:right w:val="single" w:sz="8" w:color="auto"/>
            </w:tcBorders>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3"/>
              </w:rPr>
              <w:t>10,485</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gridSpan w:val="3"/>
          </w:tcPr>
          <w:p>
            <w:pPr>
              <w:jc w:val="right"/>
              <w:ind w:right="40"/>
              <w:spacing w:after="0"/>
              <w:rPr>
                <w:sz w:val="20"/>
                <w:szCs w:val="20"/>
                <w:color w:val="auto"/>
              </w:rPr>
            </w:pPr>
            <w:r>
              <w:rPr>
                <w:rFonts w:ascii="Arial" w:cs="Arial" w:eastAsia="Arial" w:hAnsi="Arial"/>
                <w:sz w:val="18"/>
                <w:szCs w:val="18"/>
                <w:color w:val="auto"/>
                <w:w w:val="79"/>
              </w:rPr>
              <w:t>11,559</w:t>
            </w:r>
          </w:p>
        </w:tc>
        <w:tc>
          <w:tcPr>
            <w:tcW w:w="72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(1,074)</w:t>
            </w:r>
          </w:p>
        </w:tc>
        <w:tc>
          <w:tcPr>
            <w:tcW w:w="560" w:type="dxa"/>
            <w:vAlign w:val="bottom"/>
            <w:gridSpan w:val="4"/>
          </w:tcPr>
          <w:p>
            <w:pPr>
              <w:jc w:val="right"/>
              <w:ind w:right="40"/>
              <w:spacing w:after="0"/>
              <w:rPr>
                <w:sz w:val="20"/>
                <w:szCs w:val="20"/>
                <w:color w:val="auto"/>
              </w:rPr>
            </w:pPr>
            <w:r>
              <w:rPr>
                <w:rFonts w:ascii="Arial" w:cs="Arial" w:eastAsia="Arial" w:hAnsi="Arial"/>
                <w:sz w:val="18"/>
                <w:szCs w:val="18"/>
                <w:color w:val="auto"/>
              </w:rPr>
              <w:t>(9)%</w:t>
            </w:r>
          </w:p>
        </w:tc>
        <w:tc>
          <w:tcPr>
            <w:tcW w:w="8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8,647</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3"/>
                <w:szCs w:val="13"/>
                <w:u w:val="single" w:color="auto"/>
                <w:color w:val="auto"/>
                <w:w w:val="75"/>
              </w:rPr>
              <w:t>$</w:t>
            </w:r>
            <w:r>
              <w:rPr>
                <w:rFonts w:ascii="Arial" w:cs="Arial" w:eastAsia="Arial" w:hAnsi="Arial"/>
                <w:sz w:val="13"/>
                <w:szCs w:val="13"/>
                <w:color w:val="auto"/>
                <w:w w:val="75"/>
              </w:rPr>
              <w:t>1,838</w:t>
            </w:r>
          </w:p>
        </w:tc>
        <w:tc>
          <w:tcPr>
            <w:tcW w:w="440" w:type="dxa"/>
            <w:vAlign w:val="bottom"/>
            <w:gridSpan w:val="4"/>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37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516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jc w:val="center"/>
              <w:ind w:right="580"/>
              <w:spacing w:after="0"/>
              <w:rPr>
                <w:sz w:val="20"/>
                <w:szCs w:val="20"/>
                <w:color w:val="auto"/>
              </w:rPr>
            </w:pPr>
            <w:r>
              <w:rPr>
                <w:rFonts w:ascii="Arial" w:cs="Arial" w:eastAsia="Arial" w:hAnsi="Arial"/>
                <w:sz w:val="14"/>
                <w:szCs w:val="14"/>
                <w:b w:val="1"/>
                <w:bCs w:val="1"/>
                <w:i w:val="1"/>
                <w:iCs w:val="1"/>
                <w:color w:val="auto"/>
                <w:w w:val="85"/>
              </w:rPr>
              <w:t>Six</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13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7"/>
              </w:rPr>
              <w:t>Months Ended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32"/>
              <w:spacing w:after="0" w:line="146" w:lineRule="exact"/>
              <w:rPr>
                <w:sz w:val="20"/>
                <w:szCs w:val="20"/>
                <w:color w:val="auto"/>
              </w:rPr>
            </w:pPr>
            <w:r>
              <w:rPr>
                <w:rFonts w:ascii="Arial" w:cs="Arial" w:eastAsia="Arial" w:hAnsi="Arial"/>
                <w:sz w:val="14"/>
                <w:szCs w:val="14"/>
                <w:b w:val="1"/>
                <w:bCs w:val="1"/>
                <w:i w:val="1"/>
                <w:iCs w:val="1"/>
                <w:color w:val="auto"/>
                <w:w w:val="85"/>
              </w:rPr>
              <w:t>June 30,</w:t>
            </w:r>
          </w:p>
        </w:tc>
        <w:tc>
          <w:tcPr>
            <w:tcW w:w="50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4"/>
                <w:szCs w:val="14"/>
                <w:b w:val="1"/>
                <w:bCs w:val="1"/>
                <w:i w:val="1"/>
                <w:iCs w:val="1"/>
                <w:color w:val="auto"/>
                <w:w w:val="97"/>
              </w:rPr>
              <w:t>Change</w:t>
            </w:r>
          </w:p>
        </w:tc>
        <w:tc>
          <w:tcPr>
            <w:tcW w:w="80" w:type="dxa"/>
            <w:vAlign w:val="bottom"/>
          </w:tcPr>
          <w:p>
            <w:pPr>
              <w:spacing w:after="0"/>
              <w:rPr>
                <w:sz w:val="12"/>
                <w:szCs w:val="12"/>
                <w:color w:val="auto"/>
              </w:rPr>
            </w:pPr>
          </w:p>
        </w:tc>
      </w:tr>
      <w:tr>
        <w:trPr>
          <w:trHeight w:val="156"/>
        </w:trPr>
        <w:tc>
          <w:tcPr>
            <w:tcW w:w="2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w w:val="83"/>
              </w:rPr>
              <w:t>2016</w:t>
            </w:r>
          </w:p>
        </w:tc>
        <w:tc>
          <w:tcPr>
            <w:tcW w:w="108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3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i w:val="1"/>
                <w:iCs w:val="1"/>
                <w:u w:val="single" w:color="auto"/>
                <w:color w:val="auto"/>
              </w:rPr>
              <w:t>$</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w:t>
            </w:r>
          </w:p>
        </w:tc>
      </w:tr>
      <w:tr>
        <w:trPr>
          <w:trHeight w:val="20"/>
        </w:trPr>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380"/>
          </w:cols>
          <w:pgMar w:left="240" w:top="54" w:right="279" w:bottom="0" w:gutter="0" w:footer="0" w:header="0"/>
        </w:sectPr>
      </w:pPr>
    </w:p>
    <w:bookmarkStart w:id="15" w:name="page16"/>
    <w:bookmarkEnd w:id="15"/>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24"/>
        </w:trPr>
        <w:tc>
          <w:tcPr>
            <w:tcW w:w="3680" w:type="dxa"/>
            <w:vAlign w:val="bottom"/>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97"/>
        </w:trPr>
        <w:tc>
          <w:tcPr>
            <w:tcW w:w="3680" w:type="dxa"/>
            <w:vAlign w:val="bottom"/>
          </w:tcPr>
          <w:p>
            <w:pPr>
              <w:spacing w:after="0"/>
              <w:rPr>
                <w:sz w:val="20"/>
                <w:szCs w:val="20"/>
                <w:color w:val="auto"/>
              </w:rPr>
            </w:pPr>
            <w:r>
              <w:rPr>
                <w:rFonts w:ascii="Arial" w:cs="Arial" w:eastAsia="Arial" w:hAnsi="Arial"/>
                <w:sz w:val="18"/>
                <w:szCs w:val="18"/>
                <w:color w:val="auto"/>
              </w:rPr>
              <w:t>Thermal Products</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$10,788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$12,376</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$(1,588)</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Mechanical Products</w:t>
            </w:r>
          </w:p>
        </w:tc>
        <w:tc>
          <w:tcPr>
            <w:tcW w:w="520" w:type="dxa"/>
            <w:vAlign w:val="bottom"/>
          </w:tcPr>
          <w:p>
            <w:pPr>
              <w:jc w:val="right"/>
              <w:spacing w:after="0"/>
              <w:rPr>
                <w:sz w:val="20"/>
                <w:szCs w:val="20"/>
                <w:color w:val="auto"/>
              </w:rPr>
            </w:pPr>
            <w:r>
              <w:rPr>
                <w:rFonts w:ascii="Arial" w:cs="Arial" w:eastAsia="Arial" w:hAnsi="Arial"/>
                <w:sz w:val="18"/>
                <w:szCs w:val="18"/>
                <w:color w:val="auto"/>
              </w:rPr>
              <w:t>4,609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4,922</w:t>
            </w:r>
          </w:p>
        </w:tc>
        <w:tc>
          <w:tcPr>
            <w:tcW w:w="760" w:type="dxa"/>
            <w:vAlign w:val="bottom"/>
            <w:gridSpan w:val="4"/>
          </w:tcPr>
          <w:p>
            <w:pPr>
              <w:jc w:val="right"/>
              <w:ind w:right="80"/>
              <w:spacing w:after="0"/>
              <w:rPr>
                <w:sz w:val="20"/>
                <w:szCs w:val="20"/>
                <w:color w:val="auto"/>
              </w:rPr>
            </w:pPr>
            <w:r>
              <w:rPr>
                <w:rFonts w:ascii="Arial" w:cs="Arial" w:eastAsia="Arial" w:hAnsi="Arial"/>
                <w:sz w:val="18"/>
                <w:szCs w:val="18"/>
                <w:color w:val="auto"/>
              </w:rPr>
              <w:t>(313)</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5"/>
        </w:trPr>
        <w:tc>
          <w:tcPr>
            <w:tcW w:w="368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3,735</w:t>
            </w:r>
          </w:p>
        </w:tc>
        <w:tc>
          <w:tcPr>
            <w:tcW w:w="26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4,449</w:t>
            </w:r>
          </w:p>
        </w:tc>
        <w:tc>
          <w:tcPr>
            <w:tcW w:w="120" w:type="dxa"/>
            <w:vAlign w:val="bottom"/>
          </w:tcPr>
          <w:p>
            <w:pPr>
              <w:spacing w:after="0"/>
              <w:rPr>
                <w:sz w:val="17"/>
                <w:szCs w:val="17"/>
                <w:color w:val="auto"/>
              </w:rPr>
            </w:pPr>
          </w:p>
        </w:tc>
        <w:tc>
          <w:tcPr>
            <w:tcW w:w="640" w:type="dxa"/>
            <w:vAlign w:val="bottom"/>
            <w:gridSpan w:val="3"/>
          </w:tcPr>
          <w:p>
            <w:pPr>
              <w:jc w:val="right"/>
              <w:ind w:right="80"/>
              <w:spacing w:after="0" w:line="205" w:lineRule="exact"/>
              <w:rPr>
                <w:sz w:val="20"/>
                <w:szCs w:val="20"/>
                <w:color w:val="auto"/>
              </w:rPr>
            </w:pPr>
            <w:r>
              <w:rPr>
                <w:rFonts w:ascii="Arial" w:cs="Arial" w:eastAsia="Arial" w:hAnsi="Arial"/>
                <w:sz w:val="18"/>
                <w:szCs w:val="18"/>
                <w:color w:val="auto"/>
              </w:rPr>
              <w:t>(714)</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(16)%</w:t>
            </w:r>
          </w:p>
        </w:tc>
      </w:tr>
      <w:tr>
        <w:trPr>
          <w:trHeight w:val="20"/>
        </w:trPr>
        <w:tc>
          <w:tcPr>
            <w:tcW w:w="3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3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19,132</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21,747</w:t>
            </w:r>
          </w:p>
        </w:tc>
        <w:tc>
          <w:tcPr>
            <w:tcW w:w="12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(2,615)</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505"/>
        </w:trPr>
        <w:tc>
          <w:tcPr>
            <w:tcW w:w="3680" w:type="dxa"/>
            <w:vAlign w:val="bottom"/>
          </w:tcPr>
          <w:p>
            <w:pPr>
              <w:spacing w:after="0"/>
              <w:rPr>
                <w:sz w:val="20"/>
                <w:szCs w:val="20"/>
                <w:color w:val="auto"/>
              </w:rPr>
            </w:pPr>
            <w:r>
              <w:rPr>
                <w:rFonts w:ascii="Arial" w:cs="Arial" w:eastAsia="Arial" w:hAnsi="Arial"/>
                <w:sz w:val="18"/>
                <w:szCs w:val="18"/>
                <w:color w:val="auto"/>
              </w:rPr>
              <w:t>ATE market</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$14,029</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76"/>
              </w:rPr>
              <w:t>$16,895</w:t>
            </w:r>
          </w:p>
        </w:tc>
        <w:tc>
          <w:tcPr>
            <w:tcW w:w="12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w w:val="80"/>
              </w:rPr>
              <w:t>$(2,866)</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5"/>
        </w:trPr>
        <w:tc>
          <w:tcPr>
            <w:tcW w:w="368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5,103</w:t>
            </w:r>
          </w:p>
        </w:tc>
        <w:tc>
          <w:tcPr>
            <w:tcW w:w="260" w:type="dxa"/>
            <w:vAlign w:val="bottom"/>
          </w:tcPr>
          <w:p>
            <w:pPr>
              <w:spacing w:after="0"/>
              <w:rPr>
                <w:sz w:val="17"/>
                <w:szCs w:val="17"/>
                <w:color w:val="auto"/>
              </w:rPr>
            </w:pP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4,852</w:t>
            </w:r>
          </w:p>
        </w:tc>
        <w:tc>
          <w:tcPr>
            <w:tcW w:w="120" w:type="dxa"/>
            <w:vAlign w:val="bottom"/>
          </w:tcPr>
          <w:p>
            <w:pPr>
              <w:spacing w:after="0"/>
              <w:rPr>
                <w:sz w:val="17"/>
                <w:szCs w:val="17"/>
                <w:color w:val="auto"/>
              </w:rPr>
            </w:pPr>
          </w:p>
        </w:tc>
        <w:tc>
          <w:tcPr>
            <w:tcW w:w="640" w:type="dxa"/>
            <w:vAlign w:val="bottom"/>
            <w:gridSpan w:val="3"/>
          </w:tcPr>
          <w:p>
            <w:pPr>
              <w:jc w:val="right"/>
              <w:ind w:right="120"/>
              <w:spacing w:after="0" w:line="205" w:lineRule="exact"/>
              <w:rPr>
                <w:sz w:val="20"/>
                <w:szCs w:val="20"/>
                <w:color w:val="auto"/>
              </w:rPr>
            </w:pPr>
            <w:r>
              <w:rPr>
                <w:rFonts w:ascii="Arial" w:cs="Arial" w:eastAsia="Arial" w:hAnsi="Arial"/>
                <w:sz w:val="18"/>
                <w:szCs w:val="18"/>
                <w:color w:val="auto"/>
              </w:rPr>
              <w:t>251</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rPr>
              <w:t>5 %</w:t>
            </w:r>
          </w:p>
        </w:tc>
      </w:tr>
      <w:tr>
        <w:trPr>
          <w:trHeight w:val="20"/>
        </w:trPr>
        <w:tc>
          <w:tcPr>
            <w:tcW w:w="3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3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19,132</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21,747</w:t>
            </w:r>
          </w:p>
        </w:tc>
        <w:tc>
          <w:tcPr>
            <w:tcW w:w="12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80"/>
              </w:rPr>
              <w:t>$</w:t>
            </w:r>
            <w:r>
              <w:rPr>
                <w:rFonts w:ascii="Arial" w:cs="Arial" w:eastAsia="Arial" w:hAnsi="Arial"/>
                <w:sz w:val="18"/>
                <w:szCs w:val="18"/>
                <w:color w:val="auto"/>
                <w:w w:val="80"/>
              </w:rPr>
              <w:t>(2,615)</w:t>
            </w: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36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Total consolidated net revenues for the quarter ended June 30, 2016 were $10.5 million compared to $11.6 million for the same period in 2015 and $8.6 million for the quarter ended March 31, 2016. The increases for all of our product segments in the second quarter of 2016 as compared to the first quarter of the year reflect increased demand from the ATE market, although demand remains below the level experienced during the same period in 2015 for our Thermal and Electrical Products segments. Net revenues from non-ATE market customers were relatively flat for the second quarter of 2016 as compared to the first quarter of the year. Increases from customers in the telecommunications and defense/aerospace markets were offset by reductions from customers in the industrial and other non-ATE markets we serve. Net revenues from non-ATE market customers declined 16% for the second quarter of 2016 as compared to the same period in 2015. The declines were primarily from customers in the defense/aerospace and industrial markets and were partially offset by increased demand from certain customers in the telecommunications market.</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7"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six months ended June 30, 2016 and 2015, our OEM sales as a percentage of net revenues were 7% and 8%, respectively.</w:t>
      </w:r>
    </w:p>
    <w:p>
      <w:pPr>
        <w:spacing w:after="0" w:line="170"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jc w:val="both"/>
        <w:ind w:left="540" w:right="240"/>
        <w:spacing w:after="0" w:line="306" w:lineRule="auto"/>
        <w:rPr>
          <w:sz w:val="20"/>
          <w:szCs w:val="20"/>
          <w:color w:val="auto"/>
        </w:rPr>
      </w:pPr>
      <w:r>
        <w:rPr>
          <w:rFonts w:ascii="Arial" w:cs="Arial" w:eastAsia="Arial" w:hAnsi="Arial"/>
          <w:sz w:val="16"/>
          <w:szCs w:val="16"/>
          <w:color w:val="auto"/>
        </w:rPr>
        <w:t>The results of operations for our three product segments are generally affected by the same factors. Separate discussions and analyses for each product segment would be repetitive. The discussion and analysis that follows, therefore, is presented on a consolidated basis and includes discussion of factors unique to each product segment where significant to an understanding of that segment.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Quarter Ended June 30, 2016 Compared to Quarter Ended June 30, 2015</w:t>
      </w:r>
    </w:p>
    <w:p>
      <w:pPr>
        <w:spacing w:after="0" w:line="225"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$10.5 million for the quarter ended June 30, 2016 compared to $11.6 million for the same period in 2015,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 million or 9%. We believe the decrease in our net revenues during the second quarter of 2016 primarily reflects the factors previously discussed in the Overview.</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51% in each of the quarters ended June 30, 2016 and 2015. Our fixed operating costs declined</w:t>
      </w:r>
    </w:p>
    <w:p>
      <w:pPr>
        <w:spacing w:after="0" w:line="38"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$228,000 in absolute dollar terms and represented 12% of our net revenues for the second quarter of 2016 as compared to 13% for the same period in 2015. The $228,000 decline in these costs primarily reflects lower salary and benefits expense in our Mechanical and Thermal Products segments reflecting reduced headcount. For our Mechanical Products segment, the decline in headcount is a result of the workforce reduction that we implemented on January 4, 2016, as discussed further in Note 3 to our consolidated financial statements. To a lesser extent, there were also reduced levels of facility related costs and lower depreciation expense in our Thermal Products segment in the second quarter of 2016 as compared to the same period in 2015. The decrease in our fixed operating costs was offset by an increase in our component material costs, primarily reflecting changes in product mix.</w:t>
      </w:r>
    </w:p>
    <w:p>
      <w:pPr>
        <w:spacing w:after="0" w:line="172" w:lineRule="exact"/>
        <w:rPr>
          <w:sz w:val="20"/>
          <w:szCs w:val="20"/>
          <w:color w:val="auto"/>
        </w:rPr>
      </w:pPr>
    </w:p>
    <w:p>
      <w:pPr>
        <w:ind w:left="54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$1.5 million for the quarter ended June 30, 2016 compared to $1.6 million for the same period in 2015,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$121,000 or 8%. The decrease primarily reflects lower levels of third party commission expense, reflecting the decline in net revenues, along with a reduction in salary and benefits expense in our Mechanical and Electrical Products segment, reflecting reduced headcount.</w:t>
      </w:r>
    </w:p>
    <w:p>
      <w:pPr>
        <w:spacing w:after="0" w:line="161" w:lineRule="exact"/>
        <w:rPr>
          <w:sz w:val="20"/>
          <w:szCs w:val="20"/>
          <w:color w:val="auto"/>
        </w:rPr>
      </w:pPr>
    </w:p>
    <w:p>
      <w:pPr>
        <w:ind w:left="540" w:right="40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$982,000 for the quarter ended June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 million for the same period in 2015, a decrease of $65,000 or 6%. The decrease in engineering and product development expense primarily reflects decreased salary and benefits expense in our Mechanical Products segment and reduced spending on materials used in new product development in all three of our product segments.</w:t>
      </w:r>
    </w:p>
    <w:p>
      <w:pPr>
        <w:sectPr>
          <w:pgSz w:w="11900" w:h="16838" w:orient="portrait"/>
          <w:cols w:equalWidth="0" w:num="1">
            <w:col w:w="11420"/>
          </w:cols>
          <w:pgMar w:left="240" w:top="76" w:right="239" w:bottom="0" w:gutter="0" w:footer="0" w:header="0"/>
        </w:sectPr>
      </w:pPr>
    </w:p>
    <w:bookmarkStart w:id="16" w:name="page17"/>
    <w:bookmarkEnd w:id="16"/>
    <w:p>
      <w:pPr>
        <w:spacing w:after="0" w:line="19"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$2.1 million for the quarter ended June 30, 2016 compared to $1.6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2015, an increase of $576,000 or 37%. Our expenses for the second quarter of 2016 include $456,000 for due diligence and transaction related costs associated with a potential acquisition which we are no longer pursuing. Adjusted to exclude these costs, our general and administrative expense would have increased $120,000, or 8%, for the second quarter of 2016 as compared to the same period in 2015. The $120,000 increase primarily reflects higher levels of stock-based compensation expense as a result of the vesting of restricted stock awards for our independent directors which occurred upon their re-election at our annual meeting in June 2016.</w:t>
      </w:r>
    </w:p>
    <w:p>
      <w:pPr>
        <w:spacing w:after="0" w:line="174" w:lineRule="exact"/>
        <w:rPr>
          <w:sz w:val="20"/>
          <w:szCs w:val="20"/>
          <w:color w:val="auto"/>
        </w:rPr>
      </w:pPr>
    </w:p>
    <w:p>
      <w:pPr>
        <w:ind w:left="540" w:right="8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quarter ended June 30, 2016, we recorded income tax expense of $263,000 compared to $579,000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Our effective tax rate was 35% in each of the quarters ended June 30 2016 and 2015. On a quarterly basis, we record income tax expense or benefit based on the expected annualized effective tax rate for the various taxing jurisdictions in which we operate our businesses.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Six months Ended June 30, 2016 Compared to Six Months Ended June 30, 2015</w:t>
      </w:r>
    </w:p>
    <w:p>
      <w:pPr>
        <w:spacing w:after="0" w:line="225"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$19.1 million for the six months ended June 30, 2016 compared to $21.7 million for the same period in 2015,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$2.6 million or 12%. We believe the decrease in our net revenues primarily reflects reduced levels of demand from the ATE market for all of our product segments as a result of cyclical weakness in the ATE market during the first half of 2016 as compared to the same period in 2015.</w:t>
      </w:r>
    </w:p>
    <w:p>
      <w:pPr>
        <w:spacing w:after="0" w:line="161" w:lineRule="exact"/>
        <w:rPr>
          <w:sz w:val="20"/>
          <w:szCs w:val="20"/>
          <w:color w:val="auto"/>
        </w:rPr>
      </w:pPr>
    </w:p>
    <w:p>
      <w:pPr>
        <w:ind w:left="540" w:right="12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49% for the six months ended June 30, 2016 compared to 50% for the same period in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decline in our gross margin primarily reflects higher component material costs as a result of changes in product mix. Although our fixed operating costs declined $395,000 in absolute dollar terms, they were relatively unchanged at 14% of our net revenues for both the first half of 2016 and 2015, respectively, reflecting that these costs were not as fully absorbed due to the lower net revenues levels in the first half of 2016. The $395,000 decline in these costs primarily reflects lower salary and benefits expense in our Mechanical and Thermal Products segments reflecting reduced headcount. For our Mechanical Products segment, the decline in headcount is a result of the aforementioned workforce reduction. To a lesser extent, there were also reduced levels of facility related costs and lower depreciation expense in our Thermal Products segment in the first six months of 2016 as compared to the same period in 2015.</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$2.8 million for the six months ended June 30, 2016 compared to $3.1 million for the same period in 2015,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$273,000 or 9%. The decrease primarily reflects lower levels of third party commission expense, reflecting the decline in net revenues, along with a reduction in salary and benefits expense in our Mechanical and Electrical Products segment, reflecting reduced headcount.</w:t>
      </w:r>
    </w:p>
    <w:p>
      <w:pPr>
        <w:spacing w:after="0" w:line="161" w:lineRule="exact"/>
        <w:rPr>
          <w:sz w:val="20"/>
          <w:szCs w:val="20"/>
          <w:color w:val="auto"/>
        </w:rPr>
      </w:pPr>
    </w:p>
    <w:p>
      <w:pPr>
        <w:ind w:left="540" w:right="220"/>
        <w:spacing w:after="0" w:line="306"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relatively unchanged at $2.0 million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2016 and 2015. A reduction in salary and benefits expense in our Mechanical Products segment was offset by increased spending on materials used in new product development in our Thermal Products segment.</w:t>
      </w:r>
    </w:p>
    <w:p>
      <w:pPr>
        <w:spacing w:after="0" w:line="16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$3.8 million for the six months ended June 30, 2016 compared to $3.4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2015, an increase of $414,000 or 12%. Our expenses for the first six months of 2016 included $456,000 for due diligence and transaction related costs associated with a potential acquisition which we are no longer pursuing and $99,000 of restructuring charges as a result of the aforementioned workforce reduction implemented on January 4, 2016. Our expenses for the first six months of 2015 included $320,000 for due diligence and transaction related costs associated with a potential acquisition which did not close. Adjusted to exclude these costs, our general and administrative expense would have increased $179,000, or 6%, for the first six months of 2016 as compared to the same period in 2015. The $179,000 increase primarily reflects higher levels of stock-based compensation expense as a result of the vesting of restricted stock awards for our independent directors which occurred upon their re-election at our annual meeting in June 2016, and, to a lesser extent, higher salary and benefits expense as a result of changes in compensation structure for our executive management team.</w:t>
      </w:r>
    </w:p>
    <w:p>
      <w:pPr>
        <w:spacing w:after="0" w:line="174" w:lineRule="exact"/>
        <w:rPr>
          <w:sz w:val="20"/>
          <w:szCs w:val="20"/>
          <w:color w:val="auto"/>
        </w:rPr>
      </w:pPr>
    </w:p>
    <w:p>
      <w:pPr>
        <w:jc w:val="both"/>
        <w:ind w:left="540" w:right="8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six months ended June 30, 2016, we recorded income tax expense of $306,000 compared to $812,000 for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2015. Our effective tax rate was 35% in each of the six month periods ended June 30, 2016 and 2015. On a quarterly basis, we record income tax expense or benefit based on the expected annualized effective tax rate for the various taxing jurisdictions in which we operate our businesses.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20" w:type="dxa"/>
            <w:vAlign w:val="bottom"/>
            <w:gridSpan w:val="3"/>
          </w:tcPr>
          <w:p>
            <w:pPr>
              <w:jc w:val="center"/>
              <w:ind w:left="1342"/>
              <w:spacing w:after="0"/>
              <w:rPr>
                <w:sz w:val="20"/>
                <w:szCs w:val="20"/>
                <w:color w:val="auto"/>
              </w:rPr>
            </w:pPr>
            <w:r>
              <w:rPr>
                <w:rFonts w:ascii="Arial" w:cs="Arial" w:eastAsia="Arial" w:hAnsi="Arial"/>
                <w:sz w:val="14"/>
                <w:szCs w:val="14"/>
                <w:b w:val="1"/>
                <w:bCs w:val="1"/>
                <w:i w:val="1"/>
                <w:iCs w:val="1"/>
                <w:color w:val="auto"/>
                <w:w w:val="85"/>
              </w:rPr>
              <w:t>June 30, 2016</w:t>
            </w:r>
          </w:p>
        </w:tc>
        <w:tc>
          <w:tcPr>
            <w:tcW w:w="920" w:type="dxa"/>
            <w:vAlign w:val="bottom"/>
            <w:gridSpan w:val="2"/>
          </w:tcPr>
          <w:p>
            <w:pPr>
              <w:jc w:val="center"/>
              <w:ind w:left="82"/>
              <w:spacing w:after="0"/>
              <w:rPr>
                <w:sz w:val="20"/>
                <w:szCs w:val="20"/>
                <w:color w:val="auto"/>
              </w:rPr>
            </w:pPr>
            <w:r>
              <w:rPr>
                <w:rFonts w:ascii="Arial" w:cs="Arial" w:eastAsia="Arial" w:hAnsi="Arial"/>
                <w:sz w:val="14"/>
                <w:szCs w:val="14"/>
                <w:b w:val="1"/>
                <w:bCs w:val="1"/>
                <w:i w:val="1"/>
                <w:iCs w:val="1"/>
                <w:color w:val="auto"/>
                <w:w w:val="86"/>
              </w:rPr>
              <w:t>Dec. 31, 2015</w:t>
            </w:r>
          </w:p>
        </w:tc>
      </w:tr>
      <w:tr>
        <w:trPr>
          <w:trHeight w:val="235"/>
        </w:trPr>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tcPr>
          <w:p>
            <w:pPr>
              <w:spacing w:after="0"/>
              <w:rPr>
                <w:sz w:val="20"/>
                <w:szCs w:val="20"/>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$25,003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$25,710</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Working capital</w:t>
            </w:r>
          </w:p>
        </w:tc>
        <w:tc>
          <w:tcPr>
            <w:tcW w:w="2360" w:type="dxa"/>
            <w:vAlign w:val="bottom"/>
            <w:gridSpan w:val="2"/>
          </w:tcPr>
          <w:p>
            <w:pPr>
              <w:jc w:val="center"/>
              <w:ind w:left="1502"/>
              <w:spacing w:after="0"/>
              <w:rPr>
                <w:sz w:val="20"/>
                <w:szCs w:val="20"/>
                <w:color w:val="auto"/>
              </w:rPr>
            </w:pPr>
            <w:r>
              <w:rPr>
                <w:rFonts w:ascii="Arial" w:cs="Arial" w:eastAsia="Arial" w:hAnsi="Arial"/>
                <w:sz w:val="18"/>
                <w:szCs w:val="18"/>
                <w:color w:val="auto"/>
                <w:w w:val="89"/>
              </w:rPr>
              <w:t>$30,688</w:t>
            </w:r>
          </w:p>
        </w:tc>
        <w:tc>
          <w:tcPr>
            <w:tcW w:w="160" w:type="dxa"/>
            <w:vAlign w:val="bottom"/>
          </w:tcPr>
          <w:p>
            <w:pPr>
              <w:spacing w:after="0"/>
              <w:rPr>
                <w:sz w:val="21"/>
                <w:szCs w:val="21"/>
                <w:color w:val="auto"/>
              </w:rPr>
            </w:pPr>
          </w:p>
        </w:tc>
        <w:tc>
          <w:tcPr>
            <w:tcW w:w="920" w:type="dxa"/>
            <w:vAlign w:val="bottom"/>
            <w:gridSpan w:val="2"/>
          </w:tcPr>
          <w:p>
            <w:pPr>
              <w:jc w:val="center"/>
              <w:ind w:left="82"/>
              <w:spacing w:after="0"/>
              <w:rPr>
                <w:sz w:val="20"/>
                <w:szCs w:val="20"/>
                <w:color w:val="auto"/>
              </w:rPr>
            </w:pPr>
            <w:r>
              <w:rPr>
                <w:rFonts w:ascii="Arial" w:cs="Arial" w:eastAsia="Arial" w:hAnsi="Arial"/>
                <w:sz w:val="18"/>
                <w:szCs w:val="18"/>
                <w:color w:val="auto"/>
                <w:w w:val="86"/>
              </w:rPr>
              <w:t>$30,205</w:t>
            </w:r>
          </w:p>
        </w:tc>
      </w:tr>
    </w:tbl>
    <w:p>
      <w:pPr>
        <w:spacing w:after="0" w:line="223" w:lineRule="exact"/>
        <w:rPr>
          <w:sz w:val="20"/>
          <w:szCs w:val="20"/>
          <w:color w:val="auto"/>
        </w:rPr>
      </w:pPr>
    </w:p>
    <w:p>
      <w:pPr>
        <w:ind w:left="540" w:right="180"/>
        <w:spacing w:after="0" w:line="259" w:lineRule="auto"/>
        <w:rPr>
          <w:sz w:val="20"/>
          <w:szCs w:val="20"/>
          <w:color w:val="auto"/>
        </w:rPr>
      </w:pPr>
      <w:r>
        <w:rPr>
          <w:rFonts w:ascii="Arial" w:cs="Arial" w:eastAsia="Arial" w:hAnsi="Arial"/>
          <w:sz w:val="18"/>
          <w:szCs w:val="18"/>
          <w:color w:val="auto"/>
        </w:rPr>
        <w:t>As of June 30, 2016, $2.5 million of our cash and cash equivalents was held by our foreign subsidiaries. On July 26, 2016 we repatriated $921,000 from our German subsidiary. When these funds are needed for our operations in the U.S., we may be required to accrue and pay U.S. taxes if we repatriate certain of these funds.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 term working capital requirements</w:t>
      </w:r>
    </w:p>
    <w:p>
      <w:pPr>
        <w:sectPr>
          <w:pgSz w:w="11900" w:h="16857" w:orient="portrait"/>
          <w:cols w:equalWidth="0" w:num="1">
            <w:col w:w="11420"/>
          </w:cols>
          <w:pgMar w:left="240" w:top="131" w:right="239" w:bottom="0" w:gutter="0" w:footer="0" w:header="0"/>
        </w:sectPr>
      </w:pPr>
    </w:p>
    <w:bookmarkStart w:id="17" w:name="page18"/>
    <w:bookmarkEnd w:id="17"/>
    <w:p>
      <w:pPr>
        <w:ind w:left="540" w:right="160"/>
        <w:spacing w:after="0" w:line="298" w:lineRule="auto"/>
        <w:rPr>
          <w:sz w:val="20"/>
          <w:szCs w:val="20"/>
          <w:color w:val="auto"/>
        </w:rPr>
      </w:pPr>
      <w:r>
        <w:rPr>
          <w:rFonts w:ascii="Arial" w:cs="Arial" w:eastAsia="Arial" w:hAnsi="Arial"/>
          <w:sz w:val="16"/>
          <w:szCs w:val="16"/>
          <w:color w:val="auto"/>
        </w:rPr>
        <w:t>and any future repurchases of shares under the 2015 Repurchase Plan (which was suspended in May 2016 and is discussed more fully in Note 9 to our consolidated financial statements.)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In addition, in recent years, our Mechanical Products segment has experienced significant operating losses. We have undertaken actions at various times over the last few years to address these losses. As previously discussed, on January 4, 2016, we implemented a workforce reduction which resulted in our recording a restructuring charge of $99,000 in the first quarter of 2016. The annualized savings from these actions are estimated to be approximately $690,000. Our review of the operations of this product segment is ongoing with the goal of identifying additional opportunities for cost reduction and revenue growth. We cannot be certain that our efforts to restructure this operation to achieve profitability will be successful. These efforts could require us to utilize additional financial resources to pay severance or fund other costs associated with the restructuring of this operation, which would reduce the amount of our cash and cash equivalents available to fund our short-term working capital requirements.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six months ended June 30, 2016 was $195,000. During the six months ended June 30, 2016,</w:t>
      </w:r>
      <w:r>
        <w:rPr>
          <w:rFonts w:ascii="Arial" w:cs="Arial" w:eastAsia="Arial" w:hAnsi="Arial"/>
          <w:sz w:val="16"/>
          <w:szCs w:val="16"/>
          <w:i w:val="1"/>
          <w:iCs w:val="1"/>
          <w:color w:val="auto"/>
        </w:rPr>
        <w:t xml:space="preserve"> </w:t>
      </w:r>
      <w:r>
        <w:rPr>
          <w:rFonts w:ascii="Arial" w:cs="Arial" w:eastAsia="Arial" w:hAnsi="Arial"/>
          <w:sz w:val="16"/>
          <w:szCs w:val="16"/>
          <w:color w:val="auto"/>
        </w:rPr>
        <w:t>we recorded net earnings of $567,000, which included non-cash charges of $304,000 for depreciation and amortization and $178,000 for deferred compensation related to stock-based awards. During the six months ended June 30, 2016, accounts receivable and accounts payable increased $2.3 million and $565,000, respectively, compared to the levels at the end of 2015. These increases primarily reflect increased business activity during the first six months of 2016 as compared to the fourth quarter of 2015. During the six months ended June 30, 2016, prepaid expenses and other current assets decreased $343,000, primarily reflecting a lower level of refundable taxes and prepaid insurance premiums at June 30, 2016 as compared to the level at December 31, 2015. In addition, during the second quarter of 2016, we requested and were granted a $125,000 reduction in the amount of the letter of credit that serves as a security deposit under the terms of the lease for our facility in New Jersey. Accordingly, we reduced the amount of the related restricted certificate of deposit which supported this letter of credit by $125,000 during the second quarter of 2016.</w:t>
      </w:r>
    </w:p>
    <w:p>
      <w:pPr>
        <w:spacing w:after="0" w:line="174" w:lineRule="exact"/>
        <w:rPr>
          <w:sz w:val="20"/>
          <w:szCs w:val="20"/>
          <w:color w:val="auto"/>
        </w:rPr>
      </w:pPr>
    </w:p>
    <w:p>
      <w:pPr>
        <w:ind w:left="540" w:right="20"/>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the six months ended June 30, 2016 purchases of property and equipment were $164,000. We have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for capital expenditures for the balance of 2016, however, depending upon changes in market demand or manufacturing and sales strategies, we may make such purchases or investments as we deem necessary and appropriate.</w:t>
      </w:r>
    </w:p>
    <w:p>
      <w:pPr>
        <w:spacing w:after="0" w:line="194"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During the six months ended June 30, 2016, we utilized $770,000 to repurchase 190,725 shares of our common stock under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Plan. As previously discussed, this plan was suspended in May 2016.</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160"/>
        <w:spacing w:after="0" w:line="268" w:lineRule="auto"/>
        <w:rPr>
          <w:sz w:val="20"/>
          <w:szCs w:val="20"/>
          <w:color w:val="auto"/>
        </w:rPr>
      </w:pPr>
      <w:r>
        <w:rPr>
          <w:rFonts w:ascii="Arial" w:cs="Arial" w:eastAsia="Arial" w:hAnsi="Arial"/>
          <w:sz w:val="18"/>
          <w:szCs w:val="18"/>
          <w:color w:val="auto"/>
        </w:rPr>
        <w:t>See the Notes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June 30, 2016, there have been no significant changes to the accounting policies that we have deemed critical. These policies are more fully described in our 2015 Form 10-K.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There were no off-balance sheet arrangements during the six months ended June 30, 2016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ectPr>
          <w:pgSz w:w="11900" w:h="16838" w:orient="portrait"/>
          <w:cols w:equalWidth="0" w:num="1">
            <w:col w:w="11400"/>
          </w:cols>
          <w:pgMar w:left="240" w:top="131" w:right="259" w:bottom="175"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370"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___________________________________________________</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jc w:val="both"/>
        <w:ind w:left="540" w:right="2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jc w:val="both"/>
        <w:ind w:left="540" w:right="2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Annual Report on Form 10-K for the year ended December 31, 2015.</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provides information with respect to purchases made by us, or on our behalf, of our common stock during the three months ended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June 30, 2016:</w:t>
      </w:r>
    </w:p>
    <w:p>
      <w:pPr>
        <w:spacing w:after="0" w:line="17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gridSpan w:val="4"/>
          </w:tcPr>
          <w:p>
            <w:pPr>
              <w:jc w:val="center"/>
              <w:ind w:right="580"/>
              <w:spacing w:after="0"/>
              <w:rPr>
                <w:sz w:val="20"/>
                <w:szCs w:val="20"/>
                <w:color w:val="auto"/>
              </w:rPr>
            </w:pPr>
            <w:r>
              <w:rPr>
                <w:rFonts w:ascii="Arial" w:cs="Arial" w:eastAsia="Arial" w:hAnsi="Arial"/>
                <w:sz w:val="14"/>
                <w:szCs w:val="14"/>
                <w:b w:val="1"/>
                <w:bCs w:val="1"/>
                <w:i w:val="1"/>
                <w:iCs w:val="1"/>
                <w:color w:val="auto"/>
                <w:w w:val="85"/>
              </w:rPr>
              <w:t>Total 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Approximate Dollar</w:t>
            </w:r>
          </w:p>
        </w:tc>
      </w:tr>
      <w:tr>
        <w:trPr>
          <w:trHeight w:val="149"/>
        </w:trPr>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i w:val="1"/>
                <w:iCs w:val="1"/>
                <w:color w:val="auto"/>
                <w:w w:val="83"/>
              </w:rPr>
              <w:t>Shares Purchased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Value of Shares</w:t>
            </w:r>
          </w:p>
        </w:tc>
      </w:tr>
      <w:tr>
        <w:trPr>
          <w:trHeight w:val="149"/>
        </w:trPr>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4"/>
          </w:tcPr>
          <w:p>
            <w:pPr>
              <w:jc w:val="center"/>
              <w:ind w:left="402"/>
              <w:spacing w:after="0" w:line="149" w:lineRule="exact"/>
              <w:rPr>
                <w:sz w:val="20"/>
                <w:szCs w:val="20"/>
                <w:color w:val="auto"/>
              </w:rPr>
            </w:pPr>
            <w:r>
              <w:rPr>
                <w:rFonts w:ascii="Arial" w:cs="Arial" w:eastAsia="Arial" w:hAnsi="Arial"/>
                <w:sz w:val="14"/>
                <w:szCs w:val="14"/>
                <w:b w:val="1"/>
                <w:bCs w:val="1"/>
                <w:i w:val="1"/>
                <w:iCs w:val="1"/>
                <w:color w:val="auto"/>
                <w:w w:val="86"/>
              </w:rPr>
              <w:t>Total Number</w:t>
            </w:r>
          </w:p>
        </w:tc>
        <w:tc>
          <w:tcPr>
            <w:tcW w:w="320" w:type="dxa"/>
            <w:vAlign w:val="bottom"/>
          </w:tcPr>
          <w:p>
            <w:pPr>
              <w:spacing w:after="0"/>
              <w:rPr>
                <w:sz w:val="12"/>
                <w:szCs w:val="12"/>
                <w:color w:val="auto"/>
              </w:rPr>
            </w:pPr>
          </w:p>
        </w:tc>
        <w:tc>
          <w:tcPr>
            <w:tcW w:w="112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c>
          <w:tcPr>
            <w:tcW w:w="16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i w:val="1"/>
                <w:iCs w:val="1"/>
                <w:color w:val="auto"/>
                <w:w w:val="85"/>
              </w:rPr>
              <w:t>as Part of Publicly</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That May Yet Be</w:t>
            </w:r>
          </w:p>
        </w:tc>
      </w:tr>
      <w:tr>
        <w:trPr>
          <w:trHeight w:val="149"/>
        </w:trPr>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4"/>
              </w:rPr>
              <w:t>of Shares</w:t>
            </w:r>
          </w:p>
        </w:tc>
        <w:tc>
          <w:tcPr>
            <w:tcW w:w="14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i w:val="1"/>
                <w:iCs w:val="1"/>
                <w:color w:val="auto"/>
                <w:w w:val="85"/>
              </w:rPr>
              <w:t>Price Paid</w:t>
            </w:r>
          </w:p>
        </w:tc>
        <w:tc>
          <w:tcPr>
            <w:tcW w:w="16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i w:val="1"/>
                <w:iCs w:val="1"/>
                <w:color w:val="auto"/>
                <w:w w:val="84"/>
              </w:rPr>
              <w:t>Announced Plans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Purchased Under</w:t>
            </w:r>
          </w:p>
        </w:tc>
      </w:tr>
      <w:tr>
        <w:trPr>
          <w:trHeight w:val="146"/>
        </w:trPr>
        <w:tc>
          <w:tcPr>
            <w:tcW w:w="128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Period</w:t>
            </w:r>
          </w:p>
        </w:tc>
        <w:tc>
          <w:tcPr>
            <w:tcW w:w="1380" w:type="dxa"/>
            <w:vAlign w:val="bottom"/>
            <w:gridSpan w:val="4"/>
          </w:tcPr>
          <w:p>
            <w:pPr>
              <w:jc w:val="center"/>
              <w:ind w:left="402"/>
              <w:spacing w:after="0" w:line="146" w:lineRule="exact"/>
              <w:rPr>
                <w:sz w:val="20"/>
                <w:szCs w:val="20"/>
                <w:color w:val="auto"/>
              </w:rPr>
            </w:pPr>
            <w:r>
              <w:rPr>
                <w:rFonts w:ascii="Arial" w:cs="Arial" w:eastAsia="Arial" w:hAnsi="Arial"/>
                <w:sz w:val="14"/>
                <w:szCs w:val="14"/>
                <w:b w:val="1"/>
                <w:bCs w:val="1"/>
                <w:i w:val="1"/>
                <w:iCs w:val="1"/>
                <w:color w:val="auto"/>
                <w:w w:val="83"/>
              </w:rPr>
              <w:t>Repurchased</w:t>
            </w:r>
          </w:p>
        </w:tc>
        <w:tc>
          <w:tcPr>
            <w:tcW w:w="320" w:type="dxa"/>
            <w:vAlign w:val="bottom"/>
          </w:tcPr>
          <w:p>
            <w:pPr>
              <w:spacing w:after="0"/>
              <w:rPr>
                <w:sz w:val="12"/>
                <w:szCs w:val="12"/>
                <w:color w:val="auto"/>
              </w:rPr>
            </w:pPr>
          </w:p>
        </w:tc>
        <w:tc>
          <w:tcPr>
            <w:tcW w:w="1120" w:type="dxa"/>
            <w:vAlign w:val="bottom"/>
            <w:gridSpan w:val="3"/>
          </w:tcPr>
          <w:p>
            <w:pPr>
              <w:jc w:val="center"/>
              <w:ind w:right="580"/>
              <w:spacing w:after="0" w:line="146" w:lineRule="exact"/>
              <w:rPr>
                <w:sz w:val="20"/>
                <w:szCs w:val="20"/>
                <w:color w:val="auto"/>
              </w:rPr>
            </w:pPr>
            <w:r>
              <w:rPr>
                <w:rFonts w:ascii="Arial" w:cs="Arial" w:eastAsia="Arial" w:hAnsi="Arial"/>
                <w:sz w:val="14"/>
                <w:szCs w:val="14"/>
                <w:b w:val="1"/>
                <w:bCs w:val="1"/>
                <w:i w:val="1"/>
                <w:iCs w:val="1"/>
                <w:color w:val="auto"/>
                <w:w w:val="82"/>
              </w:rPr>
              <w:t>Per Share</w:t>
            </w:r>
          </w:p>
        </w:tc>
        <w:tc>
          <w:tcPr>
            <w:tcW w:w="1620" w:type="dxa"/>
            <w:vAlign w:val="bottom"/>
            <w:gridSpan w:val="4"/>
          </w:tcPr>
          <w:p>
            <w:pPr>
              <w:jc w:val="center"/>
              <w:ind w:right="600"/>
              <w:spacing w:after="0" w:line="146" w:lineRule="exact"/>
              <w:rPr>
                <w:sz w:val="20"/>
                <w:szCs w:val="20"/>
                <w:color w:val="auto"/>
              </w:rPr>
            </w:pPr>
            <w:r>
              <w:rPr>
                <w:rFonts w:ascii="Arial" w:cs="Arial" w:eastAsia="Arial" w:hAnsi="Arial"/>
                <w:sz w:val="14"/>
                <w:szCs w:val="14"/>
                <w:b w:val="1"/>
                <w:bCs w:val="1"/>
                <w:i w:val="1"/>
                <w:iCs w:val="1"/>
                <w:color w:val="auto"/>
                <w:w w:val="84"/>
              </w:rPr>
              <w:t>or Programs</w:t>
            </w:r>
          </w:p>
        </w:tc>
        <w:tc>
          <w:tcPr>
            <w:tcW w:w="12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the Plans or Programs</w:t>
            </w:r>
          </w:p>
        </w:tc>
      </w:tr>
      <w:tr>
        <w:trPr>
          <w:trHeight w:val="20"/>
        </w:trPr>
        <w:tc>
          <w:tcPr>
            <w:tcW w:w="3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451"/>
        </w:trPr>
        <w:tc>
          <w:tcPr>
            <w:tcW w:w="1280" w:type="dxa"/>
            <w:vAlign w:val="bottom"/>
            <w:gridSpan w:val="2"/>
          </w:tcPr>
          <w:p>
            <w:pPr>
              <w:spacing w:after="0"/>
              <w:rPr>
                <w:sz w:val="20"/>
                <w:szCs w:val="20"/>
                <w:color w:val="auto"/>
              </w:rPr>
            </w:pPr>
            <w:r>
              <w:rPr>
                <w:rFonts w:ascii="Arial" w:cs="Arial" w:eastAsia="Arial" w:hAnsi="Arial"/>
                <w:sz w:val="18"/>
                <w:szCs w:val="18"/>
                <w:color w:val="auto"/>
              </w:rPr>
              <w:t>April 1-30</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40,280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3,95</w:t>
            </w:r>
          </w:p>
        </w:tc>
        <w:tc>
          <w:tcPr>
            <w:tcW w:w="580" w:type="dxa"/>
            <w:vAlign w:val="bottom"/>
          </w:tcPr>
          <w:p>
            <w:pPr>
              <w:spacing w:after="0"/>
              <w:rPr>
                <w:sz w:val="24"/>
                <w:szCs w:val="24"/>
                <w:color w:val="auto"/>
              </w:rPr>
            </w:pPr>
          </w:p>
        </w:tc>
        <w:tc>
          <w:tcPr>
            <w:tcW w:w="1620" w:type="dxa"/>
            <w:vAlign w:val="bottom"/>
            <w:gridSpan w:val="4"/>
          </w:tcPr>
          <w:p>
            <w:pPr>
              <w:jc w:val="right"/>
              <w:ind w:right="340"/>
              <w:spacing w:after="0"/>
              <w:rPr>
                <w:sz w:val="20"/>
                <w:szCs w:val="20"/>
                <w:color w:val="auto"/>
              </w:rPr>
            </w:pPr>
            <w:r>
              <w:rPr>
                <w:rFonts w:ascii="Arial" w:cs="Arial" w:eastAsia="Arial" w:hAnsi="Arial"/>
                <w:sz w:val="18"/>
                <w:szCs w:val="18"/>
                <w:color w:val="auto"/>
              </w:rPr>
              <w:t>40,280</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$4,220,000</w:t>
            </w:r>
          </w:p>
        </w:tc>
      </w:tr>
      <w:tr>
        <w:trPr>
          <w:trHeight w:val="459"/>
        </w:trPr>
        <w:tc>
          <w:tcPr>
            <w:tcW w:w="1280" w:type="dxa"/>
            <w:vAlign w:val="bottom"/>
            <w:gridSpan w:val="2"/>
          </w:tcPr>
          <w:p>
            <w:pPr>
              <w:spacing w:after="0"/>
              <w:rPr>
                <w:sz w:val="20"/>
                <w:szCs w:val="20"/>
                <w:color w:val="auto"/>
              </w:rPr>
            </w:pPr>
            <w:r>
              <w:rPr>
                <w:rFonts w:ascii="Arial" w:cs="Arial" w:eastAsia="Arial" w:hAnsi="Arial"/>
                <w:sz w:val="18"/>
                <w:szCs w:val="18"/>
                <w:color w:val="auto"/>
              </w:rPr>
              <w:t>May 1-31</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35,757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3.87</w:t>
            </w:r>
          </w:p>
        </w:tc>
        <w:tc>
          <w:tcPr>
            <w:tcW w:w="580" w:type="dxa"/>
            <w:vAlign w:val="bottom"/>
          </w:tcPr>
          <w:p>
            <w:pPr>
              <w:spacing w:after="0"/>
              <w:rPr>
                <w:sz w:val="24"/>
                <w:szCs w:val="24"/>
                <w:color w:val="auto"/>
              </w:rPr>
            </w:pPr>
          </w:p>
        </w:tc>
        <w:tc>
          <w:tcPr>
            <w:tcW w:w="1620" w:type="dxa"/>
            <w:vAlign w:val="bottom"/>
            <w:gridSpan w:val="4"/>
          </w:tcPr>
          <w:p>
            <w:pPr>
              <w:jc w:val="right"/>
              <w:ind w:right="340"/>
              <w:spacing w:after="0"/>
              <w:rPr>
                <w:sz w:val="20"/>
                <w:szCs w:val="20"/>
                <w:color w:val="auto"/>
              </w:rPr>
            </w:pPr>
            <w:r>
              <w:rPr>
                <w:rFonts w:ascii="Arial" w:cs="Arial" w:eastAsia="Arial" w:hAnsi="Arial"/>
                <w:sz w:val="18"/>
                <w:szCs w:val="18"/>
                <w:color w:val="auto"/>
              </w:rPr>
              <w:t>35,757</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$4,081,000</w:t>
            </w:r>
          </w:p>
        </w:tc>
      </w:tr>
      <w:tr>
        <w:trPr>
          <w:trHeight w:val="421"/>
        </w:trPr>
        <w:tc>
          <w:tcPr>
            <w:tcW w:w="1280" w:type="dxa"/>
            <w:vAlign w:val="bottom"/>
            <w:gridSpan w:val="2"/>
          </w:tcPr>
          <w:p>
            <w:pPr>
              <w:spacing w:after="0"/>
              <w:rPr>
                <w:sz w:val="20"/>
                <w:szCs w:val="20"/>
                <w:color w:val="auto"/>
              </w:rPr>
            </w:pPr>
            <w:r>
              <w:rPr>
                <w:rFonts w:ascii="Arial" w:cs="Arial" w:eastAsia="Arial" w:hAnsi="Arial"/>
                <w:sz w:val="18"/>
                <w:szCs w:val="18"/>
                <w:color w:val="auto"/>
              </w:rPr>
              <w:t>June 1-30</w:t>
            </w:r>
          </w:p>
        </w:tc>
        <w:tc>
          <w:tcPr>
            <w:tcW w:w="900" w:type="dxa"/>
            <w:vAlign w:val="bottom"/>
            <w:gridSpan w:val="2"/>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$4,081,000</w:t>
            </w:r>
          </w:p>
        </w:tc>
      </w:tr>
      <w:tr>
        <w:trPr>
          <w:trHeight w:val="20"/>
        </w:trPr>
        <w:tc>
          <w:tcPr>
            <w:tcW w:w="1280" w:type="dxa"/>
            <w:vAlign w:val="bottom"/>
            <w:gridSpan w:val="2"/>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76,037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3.91</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8"/>
                <w:szCs w:val="18"/>
                <w:color w:val="auto"/>
                <w:w w:val="83"/>
              </w:rPr>
              <w:t>76,037</w:t>
            </w:r>
          </w:p>
        </w:tc>
        <w:tc>
          <w:tcPr>
            <w:tcW w:w="1260" w:type="dxa"/>
            <w:vAlign w:val="bottom"/>
          </w:tcPr>
          <w:p>
            <w:pPr>
              <w:spacing w:after="0"/>
              <w:rPr>
                <w:sz w:val="24"/>
                <w:szCs w:val="24"/>
                <w:color w:val="auto"/>
              </w:rPr>
            </w:pPr>
          </w:p>
        </w:tc>
      </w:tr>
      <w:tr>
        <w:trPr>
          <w:trHeight w:val="20"/>
        </w:trPr>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Securities Exchange Act of 1934, or in privately negotiated transactions (the "2015 Repurchase Plan"). Repurchases to date were made under a Rule 10b5-1 plan entered into with RW Baird &amp; Co, which permitted shares to be repurchased when we might otherwise be precluded from doing so under insider trading laws. The timing and amount of any shares repurchased under the 2015 Repurchase Plan was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is funded using our operating cash flow or available cash.</w:t>
      </w:r>
    </w:p>
    <w:p>
      <w:pPr>
        <w:sectPr>
          <w:pgSz w:w="11900" w:h="16838" w:orient="portrait"/>
          <w:cols w:equalWidth="0" w:num="1">
            <w:col w:w="11420"/>
          </w:cols>
          <w:pgMar w:left="240" w:top="341" w:right="239" w:bottom="0" w:gutter="0" w:footer="0" w:header="0"/>
        </w:sectPr>
      </w:pPr>
    </w:p>
    <w:bookmarkStart w:id="19" w:name="page20"/>
    <w:bookmarkEnd w:id="19"/>
    <w:p>
      <w:pPr>
        <w:jc w:val="both"/>
        <w:ind w:left="540" w:right="220"/>
        <w:spacing w:after="0" w:line="259" w:lineRule="auto"/>
        <w:rPr>
          <w:sz w:val="20"/>
          <w:szCs w:val="20"/>
          <w:color w:val="auto"/>
        </w:rPr>
      </w:pPr>
      <w:r>
        <w:rPr>
          <w:rFonts w:ascii="Arial" w:cs="Arial" w:eastAsia="Arial" w:hAnsi="Arial"/>
          <w:sz w:val="18"/>
          <w:szCs w:val="18"/>
          <w:color w:val="auto"/>
        </w:rPr>
        <w:t>For the three months ended June 30, 2016, we repurchased 76,037 shares under the repurchase plan at a fair market value of $297,000. All of the repurchased shares were retired. Fees paid to our broker related to the repurchase of these shares totaled $2,000. The 2015 Repurchase Plan was suspended in mid-May 2016 because of our work on a potential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1"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following the signature page, which Index to Exhibits is incorporated herein by reference.</w:t>
      </w:r>
    </w:p>
    <w:p>
      <w:pPr>
        <w:spacing w:after="0" w:line="200" w:lineRule="exact"/>
        <w:rPr>
          <w:sz w:val="20"/>
          <w:szCs w:val="20"/>
          <w:color w:val="auto"/>
        </w:rPr>
      </w:pPr>
    </w:p>
    <w:p>
      <w:pPr>
        <w:spacing w:after="0" w:line="33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38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inTEST Corporation</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12, 2016</w:t>
            </w:r>
          </w:p>
        </w:tc>
        <w:tc>
          <w:tcPr>
            <w:tcW w:w="3420" w:type="dxa"/>
            <w:vAlign w:val="bottom"/>
            <w:gridSpan w:val="3"/>
          </w:tcPr>
          <w:p>
            <w:pPr>
              <w:spacing w:after="0"/>
              <w:rPr>
                <w:sz w:val="20"/>
                <w:szCs w:val="20"/>
                <w:color w:val="auto"/>
              </w:rPr>
            </w:pPr>
            <w:r>
              <w:rPr>
                <w:rFonts w:ascii="Arial" w:cs="Arial" w:eastAsia="Arial" w:hAnsi="Arial"/>
                <w:sz w:val="18"/>
                <w:szCs w:val="18"/>
                <w:color w:val="auto"/>
              </w:rPr>
              <w:t>/s/ Robert E. Matthiessen</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Robert E. Matthiessen</w:t>
            </w:r>
          </w:p>
        </w:tc>
        <w:tc>
          <w:tcPr>
            <w:tcW w:w="1640" w:type="dxa"/>
            <w:vAlign w:val="bottom"/>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37"/>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1980" w:type="dxa"/>
            <w:vAlign w:val="bottom"/>
            <w:gridSpan w:val="3"/>
          </w:tcPr>
          <w:p>
            <w:pPr>
              <w:ind w:left="120"/>
              <w:spacing w:after="0"/>
              <w:rPr>
                <w:sz w:val="20"/>
                <w:szCs w:val="20"/>
                <w:color w:val="auto"/>
              </w:rPr>
            </w:pPr>
            <w:r>
              <w:rPr>
                <w:rFonts w:ascii="Arial" w:cs="Arial" w:eastAsia="Arial" w:hAnsi="Arial"/>
                <w:sz w:val="18"/>
                <w:szCs w:val="18"/>
                <w:color w:val="auto"/>
              </w:rPr>
              <w:t>August 12, 2016</w:t>
            </w:r>
          </w:p>
        </w:tc>
        <w:tc>
          <w:tcPr>
            <w:tcW w:w="3420" w:type="dxa"/>
            <w:vAlign w:val="bottom"/>
            <w:gridSpan w:val="3"/>
          </w:tcPr>
          <w:p>
            <w:pPr>
              <w:spacing w:after="0"/>
              <w:rPr>
                <w:sz w:val="20"/>
                <w:szCs w:val="20"/>
                <w:color w:val="auto"/>
              </w:rPr>
            </w:pPr>
            <w:r>
              <w:rPr>
                <w:rFonts w:ascii="Arial" w:cs="Arial" w:eastAsia="Arial" w:hAnsi="Arial"/>
                <w:sz w:val="18"/>
                <w:szCs w:val="18"/>
                <w:color w:val="auto"/>
              </w:rPr>
              <w:t>/s/ Hugh T. Regan, Jr.</w:t>
            </w:r>
          </w:p>
        </w:tc>
      </w:tr>
      <w:tr>
        <w:trPr>
          <w:trHeight w:val="228"/>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Hugh T. Regan, Jr.</w:t>
            </w:r>
          </w:p>
        </w:tc>
        <w:tc>
          <w:tcPr>
            <w:tcW w:w="1900" w:type="dxa"/>
            <w:vAlign w:val="bottom"/>
            <w:gridSpan w:val="2"/>
          </w:tcPr>
          <w:p>
            <w:pPr>
              <w:spacing w:after="0"/>
              <w:rPr>
                <w:sz w:val="19"/>
                <w:szCs w:val="19"/>
                <w:color w:val="auto"/>
              </w:rPr>
            </w:pPr>
          </w:p>
        </w:tc>
      </w:tr>
      <w:tr>
        <w:trPr>
          <w:trHeight w:val="222"/>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20" w:type="dxa"/>
            <w:vAlign w:val="bottom"/>
            <w:gridSpan w:val="3"/>
          </w:tcPr>
          <w:p>
            <w:pPr>
              <w:spacing w:after="0"/>
              <w:rPr>
                <w:sz w:val="20"/>
                <w:szCs w:val="20"/>
                <w:color w:val="auto"/>
              </w:rPr>
            </w:pPr>
            <w:r>
              <w:rPr>
                <w:rFonts w:ascii="Arial" w:cs="Arial" w:eastAsia="Arial" w:hAnsi="Arial"/>
                <w:sz w:val="18"/>
                <w:szCs w:val="18"/>
                <w:i w:val="1"/>
                <w:iCs w:val="1"/>
                <w:color w:val="auto"/>
                <w:w w:val="88"/>
              </w:rPr>
              <w:t>Secretary, Treasurer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19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14</w:t>
        <w:tab/>
        <w:t>Code of Ethics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Chief Executive Officer pursuant to Rule 13a-14(a).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Chief Financial Officer pursuant to Rule 13a-14(a).</w:t>
      </w:r>
    </w:p>
    <w:p>
      <w:pPr>
        <w:spacing w:after="0" w:line="225" w:lineRule="exact"/>
        <w:rPr>
          <w:sz w:val="20"/>
          <w:szCs w:val="20"/>
          <w:color w:val="auto"/>
        </w:rPr>
      </w:pPr>
    </w:p>
    <w:p>
      <w:pPr>
        <w:ind w:left="440" w:right="4920" w:hanging="438"/>
        <w:spacing w:after="0" w:line="332" w:lineRule="auto"/>
        <w:rPr>
          <w:sz w:val="20"/>
          <w:szCs w:val="20"/>
          <w:color w:val="auto"/>
        </w:rPr>
      </w:pPr>
      <w:r>
        <w:rPr>
          <w:rFonts w:ascii="Arial" w:cs="Arial" w:eastAsia="Arial" w:hAnsi="Arial"/>
          <w:sz w:val="16"/>
          <w:szCs w:val="16"/>
          <w:color w:val="auto"/>
        </w:rPr>
        <w:t>32.1 Certification of Chief Executive Officer pursuant to 18 U.S.C. Section 1350, as adopted pursuant to Section 906 of the Sarbanes-Oxley Act of 2002.</w:t>
      </w:r>
    </w:p>
    <w:p>
      <w:pPr>
        <w:spacing w:after="0" w:line="139" w:lineRule="exact"/>
        <w:rPr>
          <w:sz w:val="20"/>
          <w:szCs w:val="20"/>
          <w:color w:val="auto"/>
        </w:rPr>
      </w:pPr>
    </w:p>
    <w:p>
      <w:pPr>
        <w:ind w:left="440" w:right="4980" w:hanging="438"/>
        <w:spacing w:after="0" w:line="332" w:lineRule="auto"/>
        <w:rPr>
          <w:sz w:val="20"/>
          <w:szCs w:val="20"/>
          <w:color w:val="auto"/>
        </w:rPr>
      </w:pPr>
      <w:r>
        <w:rPr>
          <w:rFonts w:ascii="Arial" w:cs="Arial" w:eastAsia="Arial" w:hAnsi="Arial"/>
          <w:sz w:val="16"/>
          <w:szCs w:val="16"/>
          <w:color w:val="auto"/>
        </w:rPr>
        <w:t>32.2 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 Amended and restated on August 2, 2016.</w:t>
      </w:r>
    </w:p>
    <w:p>
      <w:pPr>
        <w:sectPr>
          <w:pgSz w:w="11900" w:h="16838" w:orient="portrait"/>
          <w:cols w:equalWidth="0" w:num="1">
            <w:col w:w="10940"/>
          </w:cols>
          <w:pgMar w:left="240" w:top="131" w:right="719" w:bottom="202"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- 25 -</w:t>
      </w:r>
    </w:p>
    <w:p>
      <w:pPr>
        <w:sectPr>
          <w:pgSz w:w="11900" w:h="16838" w:orient="portrait"/>
          <w:cols w:equalWidth="0" w:num="1">
            <w:col w:w="9019"/>
          </w:cols>
          <w:pgMar w:left="1440" w:top="131" w:right="1440" w:bottom="1440" w:gutter="0" w:footer="0" w:header="0"/>
        </w:sectPr>
      </w:pPr>
    </w:p>
    <w:bookmarkStart w:id="21" w:name="page22"/>
    <w:bookmarkEnd w:id="21"/>
    <w:p>
      <w:pPr>
        <w:spacing w:after="0" w:line="41"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inTEST CORPORATION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CODE OF ETHICS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on August 2, 2016</w:t>
      </w:r>
    </w:p>
    <w:p>
      <w:pPr>
        <w:spacing w:after="0" w:line="212"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inTEST Corporation ("inTEST" or the "Company") has a proud tradition of maintaining high ethical and legal standards. This Code of Ethics (the "Code") has been adopted by our Board of Directors as a guide to the standards of business conduct to which inTEST's employees, officers and directors must adhere. This Code is not a comprehensive document intended to address every ethical or legal issue which inTEST's employees, officers and directors may face. It is instead a resource to ensure that we maintain a consistent vision and commitment to a culture of uncompromising honesty and integrity throughout our organization. The Company has issued this Code to deter wrongdoing and to promote: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honest and ethical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40"/>
        <w:spacing w:after="0" w:line="230" w:lineRule="auto"/>
        <w:rPr>
          <w:sz w:val="20"/>
          <w:szCs w:val="20"/>
          <w:color w:val="auto"/>
        </w:rPr>
      </w:pPr>
      <w:r>
        <w:rPr>
          <w:rFonts w:ascii="Arial" w:cs="Arial" w:eastAsia="Arial" w:hAnsi="Arial"/>
          <w:sz w:val="22"/>
          <w:szCs w:val="22"/>
          <w:color w:val="auto"/>
        </w:rPr>
        <w:t>full, fair, accurate, timely and understandable disclosures in reports and documents that inTEST files with the Securities and Exchange Commission ("SEC") and in other public communications made by inTEST; avoidance of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2" w:lineRule="auto"/>
        <w:rPr>
          <w:sz w:val="20"/>
          <w:szCs w:val="20"/>
          <w:color w:val="auto"/>
        </w:rPr>
      </w:pPr>
      <w:r>
        <w:rPr>
          <w:rFonts w:ascii="Arial" w:cs="Arial" w:eastAsia="Arial" w:hAnsi="Arial"/>
          <w:sz w:val="22"/>
          <w:szCs w:val="22"/>
          <w:color w:val="auto"/>
        </w:rPr>
        <w:t>confidentiality of 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840"/>
        <w:spacing w:after="0" w:line="267" w:lineRule="auto"/>
        <w:rPr>
          <w:sz w:val="20"/>
          <w:szCs w:val="20"/>
          <w:color w:val="auto"/>
        </w:rPr>
      </w:pPr>
      <w:r>
        <w:rPr>
          <w:rFonts w:ascii="Arial" w:cs="Arial" w:eastAsia="Arial" w:hAnsi="Arial"/>
          <w:sz w:val="19"/>
          <w:szCs w:val="19"/>
          <w:color w:val="auto"/>
        </w:rPr>
        <w:t>protection and proper use of corporate assets and opportunities; compliance with applicable governmental laws,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-258445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500"/>
        <w:spacing w:after="0" w:line="237" w:lineRule="auto"/>
        <w:rPr>
          <w:sz w:val="20"/>
          <w:szCs w:val="20"/>
          <w:color w:val="auto"/>
        </w:rPr>
      </w:pPr>
      <w:r>
        <w:rPr>
          <w:rFonts w:ascii="Arial" w:cs="Arial" w:eastAsia="Arial" w:hAnsi="Arial"/>
          <w:sz w:val="22"/>
          <w:szCs w:val="22"/>
          <w:color w:val="auto"/>
        </w:rPr>
        <w:t>prompt internal reporting of any violations of this Code to an appropriate person; and accountability for adherence to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-113030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5"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This Code offers general guidance as to your ethical and legal responsibilities. As discussed in greater detail below, all employees, officers and directors are expected to comply with this Code and to report any misconduct, fraud, abuse of the Company's assets, or illegal activities of which he or she is aware. Violation of this Code may be grounds for disciplinary action up to and including termination of employment.</w:t>
      </w:r>
    </w:p>
    <w:p>
      <w:pPr>
        <w:spacing w:after="0" w:line="212"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This Code should be read in conjunction with other policies of inTEST, including but not limited to, the Whistleblower Policy, the Insider Trading Policy, and the Foreign Corrupt Practices Act Policy. These policies should be separately consulted in the event an employee, officer or director has a specific concern related to a subject covered in one of these policies.</w:t>
      </w:r>
    </w:p>
    <w:p>
      <w:pPr>
        <w:spacing w:after="0" w:line="1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Applicability</w:t>
      </w:r>
      <w:r>
        <w:rPr>
          <w:rFonts w:ascii="Arial" w:cs="Arial" w:eastAsia="Arial" w:hAnsi="Arial"/>
          <w:sz w:val="22"/>
          <w:szCs w:val="22"/>
          <w:color w:val="auto"/>
        </w:rPr>
        <w:t>.</w:t>
      </w:r>
    </w:p>
    <w:p>
      <w:pPr>
        <w:spacing w:after="0" w:line="233" w:lineRule="exact"/>
        <w:rPr>
          <w:sz w:val="20"/>
          <w:szCs w:val="20"/>
          <w:color w:val="auto"/>
        </w:rPr>
      </w:pPr>
    </w:p>
    <w:p>
      <w:pPr>
        <w:ind w:right="60" w:firstLine="324"/>
        <w:spacing w:after="0" w:line="235" w:lineRule="auto"/>
        <w:rPr>
          <w:sz w:val="20"/>
          <w:szCs w:val="20"/>
          <w:color w:val="auto"/>
        </w:rPr>
      </w:pPr>
      <w:r>
        <w:rPr>
          <w:rFonts w:ascii="Arial" w:cs="Arial" w:eastAsia="Arial" w:hAnsi="Arial"/>
          <w:sz w:val="22"/>
          <w:szCs w:val="22"/>
          <w:color w:val="auto"/>
        </w:rPr>
        <w:t>1.1 This Code of Ethics applies to all of our employees, officers and directors without exception. (Each employee, officer and director of inTEST and any of its subsidiaries is referred to in this Code as a "covered person.") This Code governs the actions and working relationships of each covered person with current and potential customers, co-workers, competitors, government agencies, the media, any stock exchanges, and any stockholders. Each covered person should become familiar with this Code, adhere to the standards and restrictions set forth in it, and conduct himself or herself in accordance with this Code in order to avoid even the appearance of impropriety.</w:t>
      </w:r>
    </w:p>
    <w:p>
      <w:pPr>
        <w:spacing w:after="0" w:line="215"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color w:val="auto"/>
        </w:rPr>
        <w:t>1.2 Some of the words and phrases in this Code may be subject to different interpretations, or it may appear that one ethical principle conflicts with another, in certain situations. If you are unsure of the appropriate action, discuss the matter with an appropriate member of management, such as your manager, a member of senior management or the Corporate Compliance Officer: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Gina Floyd</w:t>
      </w:r>
    </w:p>
    <w:p>
      <w:pPr>
        <w:ind w:left="660"/>
        <w:spacing w:after="0" w:line="238" w:lineRule="auto"/>
        <w:rPr>
          <w:sz w:val="20"/>
          <w:szCs w:val="20"/>
          <w:color w:val="auto"/>
        </w:rPr>
      </w:pPr>
      <w:r>
        <w:rPr>
          <w:rFonts w:ascii="Arial" w:cs="Arial" w:eastAsia="Arial" w:hAnsi="Arial"/>
          <w:sz w:val="22"/>
          <w:szCs w:val="22"/>
          <w:color w:val="auto"/>
        </w:rPr>
        <w:t>inTEST Corporation</w:t>
      </w:r>
    </w:p>
    <w:p>
      <w:pPr>
        <w:ind w:left="660"/>
        <w:spacing w:after="0" w:line="230" w:lineRule="auto"/>
        <w:rPr>
          <w:sz w:val="20"/>
          <w:szCs w:val="20"/>
          <w:color w:val="auto"/>
        </w:rPr>
      </w:pPr>
      <w:r>
        <w:rPr>
          <w:rFonts w:ascii="Arial" w:cs="Arial" w:eastAsia="Arial" w:hAnsi="Arial"/>
          <w:sz w:val="22"/>
          <w:szCs w:val="22"/>
          <w:color w:val="auto"/>
        </w:rPr>
        <w:t>41 Hampden Road</w:t>
      </w:r>
    </w:p>
    <w:p>
      <w:pPr>
        <w:ind w:left="660"/>
        <w:spacing w:after="0" w:line="231" w:lineRule="auto"/>
        <w:rPr>
          <w:sz w:val="20"/>
          <w:szCs w:val="20"/>
          <w:color w:val="auto"/>
        </w:rPr>
      </w:pPr>
      <w:r>
        <w:rPr>
          <w:rFonts w:ascii="Arial" w:cs="Arial" w:eastAsia="Arial" w:hAnsi="Arial"/>
          <w:sz w:val="22"/>
          <w:szCs w:val="22"/>
          <w:color w:val="auto"/>
        </w:rPr>
        <w:t>Mansfield, MA 02048</w:t>
      </w:r>
    </w:p>
    <w:p>
      <w:pPr>
        <w:ind w:left="660"/>
        <w:spacing w:after="0" w:line="231" w:lineRule="auto"/>
        <w:rPr>
          <w:sz w:val="20"/>
          <w:szCs w:val="20"/>
          <w:color w:val="auto"/>
        </w:rPr>
      </w:pPr>
      <w:r>
        <w:rPr>
          <w:rFonts w:ascii="Arial" w:cs="Arial" w:eastAsia="Arial" w:hAnsi="Arial"/>
          <w:sz w:val="22"/>
          <w:szCs w:val="22"/>
          <w:color w:val="auto"/>
        </w:rPr>
        <w:t>Email: gfloyd@inTESTthermal.com</w:t>
      </w:r>
    </w:p>
    <w:p>
      <w:pPr>
        <w:ind w:left="660"/>
        <w:spacing w:after="0" w:line="230" w:lineRule="auto"/>
        <w:rPr>
          <w:sz w:val="20"/>
          <w:szCs w:val="20"/>
          <w:color w:val="auto"/>
        </w:rPr>
      </w:pPr>
      <w:r>
        <w:rPr>
          <w:rFonts w:ascii="Arial" w:cs="Arial" w:eastAsia="Arial" w:hAnsi="Arial"/>
          <w:sz w:val="22"/>
          <w:szCs w:val="22"/>
          <w:color w:val="auto"/>
        </w:rPr>
        <w:t>Telephone: 781.688.2363</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781.688.2563</w:t>
      </w:r>
    </w:p>
    <w:p>
      <w:pPr>
        <w:spacing w:after="0" w:line="283" w:lineRule="exact"/>
        <w:rPr>
          <w:sz w:val="20"/>
          <w:szCs w:val="20"/>
          <w:color w:val="auto"/>
        </w:rPr>
      </w:pPr>
    </w:p>
    <w:p>
      <w:pPr>
        <w:jc w:val="both"/>
        <w:ind w:right="40" w:firstLine="324"/>
        <w:spacing w:after="0"/>
        <w:rPr>
          <w:sz w:val="20"/>
          <w:szCs w:val="20"/>
          <w:color w:val="auto"/>
        </w:rPr>
      </w:pPr>
      <w:r>
        <w:rPr>
          <w:rFonts w:ascii="Arial" w:cs="Arial" w:eastAsia="Arial" w:hAnsi="Arial"/>
          <w:sz w:val="22"/>
          <w:szCs w:val="22"/>
          <w:color w:val="auto"/>
        </w:rPr>
        <w:t>1.3 This Code supplements other policies set forth in our employee handbook. Each covered person is expected to comply with all of the Company's policies. The fact that particular conduct is not specifically mentioned in this Code of Ethics does not prevent it from being viewed as violating this Code of Ethics.</w:t>
      </w:r>
    </w:p>
    <w:p>
      <w:pPr>
        <w:spacing w:after="0" w:line="18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Compliance with Laws, Rules and Regulations</w:t>
      </w:r>
      <w:r>
        <w:rPr>
          <w:rFonts w:ascii="Arial" w:cs="Arial" w:eastAsia="Arial" w:hAnsi="Arial"/>
          <w:sz w:val="22"/>
          <w:szCs w:val="22"/>
          <w:color w:val="auto"/>
        </w:rPr>
        <w:t>.</w:t>
      </w:r>
    </w:p>
    <w:p>
      <w:pPr>
        <w:spacing w:after="0" w:line="206"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2.1 Covered persons are expected to obey, and ensure that the Company obeys, all applicable laws, rules and regulations of the United States and other countries in which the Company does business, as well as of the states, counties, cities and other jurisdictions in which we do business. Such laws, rules and regulations are referred to in this Code individually as a "Law" and collectively as the "Laws". This is true even if your manager or anyone in management has directed otherwise.</w:t>
      </w:r>
    </w:p>
    <w:p>
      <w:pPr>
        <w:spacing w:after="0" w:line="170" w:lineRule="exact"/>
        <w:rPr>
          <w:sz w:val="20"/>
          <w:szCs w:val="20"/>
          <w:color w:val="auto"/>
        </w:rPr>
      </w:pPr>
    </w:p>
    <w:p>
      <w:pPr>
        <w:ind w:right="280" w:firstLine="324"/>
        <w:spacing w:after="0" w:line="328" w:lineRule="auto"/>
        <w:rPr>
          <w:sz w:val="20"/>
          <w:szCs w:val="20"/>
          <w:color w:val="auto"/>
        </w:rPr>
      </w:pPr>
      <w:r>
        <w:rPr>
          <w:rFonts w:ascii="Arial" w:cs="Arial" w:eastAsia="Arial" w:hAnsi="Arial"/>
          <w:sz w:val="19"/>
          <w:szCs w:val="19"/>
          <w:color w:val="auto"/>
        </w:rPr>
        <w:t>2.2 While you are not expected to know the full details of all of the Laws to which you and the Company must adhere, some examples of the types of Laws that the Company is subject to include Laws requiring the Company and its employees to:</w:t>
      </w:r>
    </w:p>
    <w:p>
      <w:pPr>
        <w:sectPr>
          <w:pgSz w:w="11900" w:h="16879" w:orient="portrait"/>
          <w:cols w:equalWidth="0" w:num="1">
            <w:col w:w="11420"/>
          </w:cols>
          <w:pgMar w:left="240" w:top="111" w:right="239" w:bottom="0" w:gutter="0" w:footer="0" w:header="0"/>
        </w:sectPr>
      </w:pPr>
    </w:p>
    <w:bookmarkStart w:id="22" w:name="page23"/>
    <w:bookmarkEnd w:id="22"/>
    <w:p>
      <w:pPr>
        <w:ind w:right="100" w:firstLine="648"/>
        <w:spacing w:after="0"/>
        <w:rPr>
          <w:sz w:val="20"/>
          <w:szCs w:val="20"/>
          <w:color w:val="auto"/>
        </w:rPr>
      </w:pPr>
      <w:r>
        <w:rPr>
          <w:rFonts w:ascii="Arial" w:cs="Arial" w:eastAsia="Arial" w:hAnsi="Arial"/>
          <w:sz w:val="22"/>
          <w:szCs w:val="22"/>
          <w:color w:val="auto"/>
        </w:rPr>
        <w:t>2.2.1 maintain a workplace that is free from discrimination or harassment based on race, color, gender, age, religion, marital status, national origin, sexual orientation, disability, veteran status or any other characteristic that is protected by law and is unrelated to the Company's business;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2.2.2 comply with applicable environmental, health, and safety standards;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2.2.3 comply with laws prohibiting restraints of trade and other unfair trade practices;</w:t>
      </w:r>
    </w:p>
    <w:p>
      <w:pPr>
        <w:spacing w:after="0" w:line="23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2.2.4 prohibit improper or other questionable payments (including bribes or kickbacks), gifts, favors or other gratuities to suppliers, customers, government officials or other third parties, including but not limited to the conduct proscribed in the Company's Foreign Corrupt Practices Act ("FCPA") Policy; and</w:t>
      </w:r>
    </w:p>
    <w:p>
      <w:pPr>
        <w:spacing w:after="0" w:line="213"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2.2.5 comply with all applicable federal and state securities Laws, including Laws prohibiting insider trading, including but not limited to the conduct proscribed in the Company's Insider Trading Policy.</w:t>
      </w:r>
    </w:p>
    <w:p>
      <w:pPr>
        <w:spacing w:after="0" w:line="200"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If a Law conflicts with a policy in this Code, you should comply with the Law. If a local custom or practice conflicts with this Code, you must comply with this Code.</w:t>
      </w:r>
    </w:p>
    <w:p>
      <w:pPr>
        <w:spacing w:after="0" w:line="200" w:lineRule="exact"/>
        <w:rPr>
          <w:sz w:val="20"/>
          <w:szCs w:val="20"/>
          <w:color w:val="auto"/>
        </w:rPr>
      </w:pPr>
    </w:p>
    <w:p>
      <w:pPr>
        <w:ind w:firstLine="324"/>
        <w:spacing w:after="0" w:line="251" w:lineRule="auto"/>
        <w:rPr>
          <w:sz w:val="20"/>
          <w:szCs w:val="20"/>
          <w:color w:val="auto"/>
        </w:rPr>
      </w:pPr>
      <w:r>
        <w:rPr>
          <w:rFonts w:ascii="Arial" w:cs="Arial" w:eastAsia="Arial" w:hAnsi="Arial"/>
          <w:sz w:val="22"/>
          <w:szCs w:val="22"/>
          <w:color w:val="auto"/>
        </w:rPr>
        <w:t>2.3 If you are unsure about the legal course of action, request guidance from your manager, another member of management, or the Compliance Officer.</w:t>
      </w:r>
    </w:p>
    <w:p>
      <w:pPr>
        <w:spacing w:after="0" w:line="20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Conflicts of Interest</w:t>
      </w:r>
      <w:r>
        <w:rPr>
          <w:rFonts w:ascii="Arial" w:cs="Arial" w:eastAsia="Arial" w:hAnsi="Arial"/>
          <w:sz w:val="22"/>
          <w:szCs w:val="22"/>
          <w:color w:val="auto"/>
        </w:rPr>
        <w:t>.</w:t>
      </w:r>
    </w:p>
    <w:p>
      <w:pPr>
        <w:spacing w:after="0" w:line="233"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3.1 Covered persons should not engage in any activity, practice or act which conflicts with the best interests of the Company. A conflict of interest exists whenever your self-interest is in any way inconsistent, or appears to be in any way inconsistent, with the interests of the Company as a whole.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3.2 Although the following list is not exhaustive, some examples of situations in which a conflict of interest may arise include:</w:t>
      </w:r>
    </w:p>
    <w:p>
      <w:pPr>
        <w:spacing w:after="0" w:line="268" w:lineRule="exact"/>
        <w:rPr>
          <w:sz w:val="20"/>
          <w:szCs w:val="20"/>
          <w:color w:val="auto"/>
        </w:rPr>
      </w:pPr>
    </w:p>
    <w:p>
      <w:pPr>
        <w:ind w:right="880" w:firstLine="648"/>
        <w:spacing w:after="0" w:line="251" w:lineRule="auto"/>
        <w:rPr>
          <w:sz w:val="20"/>
          <w:szCs w:val="20"/>
          <w:color w:val="auto"/>
        </w:rPr>
      </w:pPr>
      <w:r>
        <w:rPr>
          <w:rFonts w:ascii="Arial" w:cs="Arial" w:eastAsia="Arial" w:hAnsi="Arial"/>
          <w:sz w:val="22"/>
          <w:szCs w:val="22"/>
          <w:color w:val="auto"/>
        </w:rPr>
        <w:t>3.2.1 When a covered person takes actions or has interests that make it difficult to perform work for the Company objectively and effectively;</w:t>
      </w:r>
    </w:p>
    <w:p>
      <w:pPr>
        <w:spacing w:after="0" w:line="200"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3.2.2 When a covered person receives improper personal benefits, such as gifts of more than a modest value, as a result of the person's position with the Company;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3.2.3 When the Company makes a loan to a covered person or guarantees an obligation of a covered person;</w:t>
      </w:r>
    </w:p>
    <w:p>
      <w:pPr>
        <w:spacing w:after="0" w:line="233" w:lineRule="exact"/>
        <w:rPr>
          <w:sz w:val="20"/>
          <w:szCs w:val="20"/>
          <w:color w:val="auto"/>
        </w:rPr>
      </w:pPr>
    </w:p>
    <w:p>
      <w:pPr>
        <w:ind w:right="500" w:firstLine="648"/>
        <w:spacing w:after="0" w:line="251" w:lineRule="auto"/>
        <w:rPr>
          <w:sz w:val="20"/>
          <w:szCs w:val="20"/>
          <w:color w:val="auto"/>
        </w:rPr>
      </w:pPr>
      <w:r>
        <w:rPr>
          <w:rFonts w:ascii="Arial" w:cs="Arial" w:eastAsia="Arial" w:hAnsi="Arial"/>
          <w:sz w:val="22"/>
          <w:szCs w:val="22"/>
          <w:color w:val="auto"/>
        </w:rPr>
        <w:t>3.2.4 When a covered person uses corporate assets or nonpublic information gained in his or her employment with the Company for his or her own advantage;</w:t>
      </w:r>
    </w:p>
    <w:p>
      <w:pPr>
        <w:spacing w:after="0" w:line="200" w:lineRule="exact"/>
        <w:rPr>
          <w:sz w:val="20"/>
          <w:szCs w:val="20"/>
          <w:color w:val="auto"/>
        </w:rPr>
      </w:pPr>
    </w:p>
    <w:p>
      <w:pPr>
        <w:jc w:val="both"/>
        <w:ind w:right="420" w:firstLine="648"/>
        <w:spacing w:after="0"/>
        <w:rPr>
          <w:sz w:val="20"/>
          <w:szCs w:val="20"/>
          <w:color w:val="auto"/>
        </w:rPr>
      </w:pPr>
      <w:r>
        <w:rPr>
          <w:rFonts w:ascii="Arial" w:cs="Arial" w:eastAsia="Arial" w:hAnsi="Arial"/>
          <w:sz w:val="22"/>
          <w:szCs w:val="22"/>
          <w:color w:val="auto"/>
        </w:rPr>
        <w:t>3.2.5 When a covered person or any family member or affiliate of a covered person enters into any transaction with the Company where the interest of the covered person, family member or affiliate is not made known to the persons approving the transaction on behalf of the Company; or</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3.2.6 When a covered person competes with the Company.</w:t>
      </w:r>
    </w:p>
    <w:p>
      <w:pPr>
        <w:spacing w:after="0" w:line="233" w:lineRule="exact"/>
        <w:rPr>
          <w:sz w:val="20"/>
          <w:szCs w:val="20"/>
          <w:color w:val="auto"/>
        </w:rPr>
      </w:pPr>
    </w:p>
    <w:p>
      <w:pPr>
        <w:ind w:right="600" w:firstLine="324"/>
        <w:spacing w:after="0" w:line="251" w:lineRule="auto"/>
        <w:rPr>
          <w:sz w:val="20"/>
          <w:szCs w:val="20"/>
          <w:color w:val="auto"/>
        </w:rPr>
      </w:pPr>
      <w:r>
        <w:rPr>
          <w:rFonts w:ascii="Arial" w:cs="Arial" w:eastAsia="Arial" w:hAnsi="Arial"/>
          <w:sz w:val="22"/>
          <w:szCs w:val="22"/>
          <w:color w:val="auto"/>
        </w:rPr>
        <w:t>3.3 Any such conflict of interest may also arise as a result of actions taken by, or for the benefit of, a family member of a covered person.</w:t>
      </w:r>
    </w:p>
    <w:p>
      <w:pPr>
        <w:spacing w:after="0" w:line="200" w:lineRule="exact"/>
        <w:rPr>
          <w:sz w:val="20"/>
          <w:szCs w:val="20"/>
          <w:color w:val="auto"/>
        </w:rPr>
      </w:pPr>
    </w:p>
    <w:p>
      <w:pPr>
        <w:ind w:right="140" w:firstLine="324"/>
        <w:spacing w:after="0" w:line="251" w:lineRule="auto"/>
        <w:rPr>
          <w:sz w:val="20"/>
          <w:szCs w:val="20"/>
          <w:color w:val="auto"/>
        </w:rPr>
      </w:pPr>
      <w:r>
        <w:rPr>
          <w:rFonts w:ascii="Arial" w:cs="Arial" w:eastAsia="Arial" w:hAnsi="Arial"/>
          <w:sz w:val="22"/>
          <w:szCs w:val="22"/>
          <w:color w:val="auto"/>
        </w:rPr>
        <w:t>3.4 Knowledge of a potential or actual conflict of interest must be reported to the anonymous hotline, the Compliance Officer, or the Chief Financial Officer.</w:t>
      </w:r>
    </w:p>
    <w:p>
      <w:pPr>
        <w:spacing w:after="0" w:line="200" w:lineRule="exact"/>
        <w:rPr>
          <w:sz w:val="20"/>
          <w:szCs w:val="20"/>
          <w:color w:val="auto"/>
        </w:rPr>
      </w:pPr>
    </w:p>
    <w:p>
      <w:pPr>
        <w:ind w:right="440" w:firstLine="324"/>
        <w:spacing w:after="0" w:line="251" w:lineRule="auto"/>
        <w:rPr>
          <w:sz w:val="20"/>
          <w:szCs w:val="20"/>
          <w:color w:val="auto"/>
        </w:rPr>
      </w:pPr>
      <w:r>
        <w:rPr>
          <w:rFonts w:ascii="Arial" w:cs="Arial" w:eastAsia="Arial" w:hAnsi="Arial"/>
          <w:sz w:val="22"/>
          <w:szCs w:val="22"/>
          <w:color w:val="auto"/>
        </w:rPr>
        <w:t>3.5 If the Company determines that there is an actual conflict of interest, the covered person may be asked to terminate the conduct at issue or take other remedial action to resolve the conflict.</w:t>
      </w:r>
    </w:p>
    <w:p>
      <w:pPr>
        <w:spacing w:after="0" w:line="20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33" w:lineRule="exact"/>
        <w:rPr>
          <w:sz w:val="20"/>
          <w:szCs w:val="20"/>
          <w:color w:val="auto"/>
        </w:rPr>
      </w:pPr>
    </w:p>
    <w:p>
      <w:pPr>
        <w:ind w:right="220" w:firstLine="324"/>
        <w:spacing w:after="0" w:line="282" w:lineRule="auto"/>
        <w:rPr>
          <w:sz w:val="20"/>
          <w:szCs w:val="20"/>
          <w:color w:val="auto"/>
        </w:rPr>
      </w:pPr>
      <w:r>
        <w:rPr>
          <w:rFonts w:ascii="Arial" w:cs="Arial" w:eastAsia="Arial" w:hAnsi="Arial"/>
          <w:sz w:val="19"/>
          <w:szCs w:val="19"/>
          <w:color w:val="auto"/>
        </w:rPr>
        <w:t>4.1 It is the Company's policy that business affairs of the Company are confidential and should not be discussed with anyone outside the organization except for information that has already been made public. As an employee, officer or director of the Company you are entrusted with such confidential information, and are only to use such confidential information for the business purposes of the Company. Confidential information should not be shared with anyone outside the Company, including family, friends, or other employees who do not need the information to carry out their duties.</w:t>
      </w:r>
    </w:p>
    <w:p>
      <w:pPr>
        <w:spacing w:after="0" w:line="175" w:lineRule="exact"/>
        <w:rPr>
          <w:sz w:val="20"/>
          <w:szCs w:val="20"/>
          <w:color w:val="auto"/>
        </w:rPr>
      </w:pPr>
    </w:p>
    <w:p>
      <w:pPr>
        <w:ind w:right="80" w:firstLine="324"/>
        <w:spacing w:after="0"/>
        <w:rPr>
          <w:sz w:val="20"/>
          <w:szCs w:val="20"/>
          <w:color w:val="auto"/>
        </w:rPr>
      </w:pPr>
      <w:r>
        <w:rPr>
          <w:rFonts w:ascii="Arial" w:cs="Arial" w:eastAsia="Arial" w:hAnsi="Arial"/>
          <w:sz w:val="22"/>
          <w:szCs w:val="22"/>
          <w:color w:val="auto"/>
        </w:rPr>
        <w:t>4.2 All communications with the media, stockholders, or other members of the public about the Company, including its business, employees, officers, directors, customers or suppliers, must be approved in advance by either the Chief Executive Officer or the Chief Financial Officer.</w:t>
      </w:r>
    </w:p>
    <w:p>
      <w:pPr>
        <w:sectPr>
          <w:pgSz w:w="11900" w:h="16838" w:orient="portrait"/>
          <w:cols w:equalWidth="0" w:num="1">
            <w:col w:w="11420"/>
          </w:cols>
          <w:pgMar w:left="240" w:top="361" w:right="239" w:bottom="0" w:gutter="0" w:footer="0" w:header="0"/>
        </w:sectPr>
      </w:pPr>
    </w:p>
    <w:bookmarkStart w:id="23" w:name="page24"/>
    <w:bookmarkEnd w:id="23"/>
    <w:p>
      <w:pPr>
        <w:ind w:left="340" w:hanging="332"/>
        <w:spacing w:after="0"/>
        <w:tabs>
          <w:tab w:leader="none" w:pos="34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Competition and Fair Dealing</w:t>
      </w:r>
      <w:r>
        <w:rPr>
          <w:rFonts w:ascii="Arial" w:cs="Arial" w:eastAsia="Arial" w:hAnsi="Arial"/>
          <w:sz w:val="22"/>
          <w:szCs w:val="22"/>
          <w:color w:val="auto"/>
        </w:rPr>
        <w:t>.</w:t>
      </w:r>
    </w:p>
    <w:p>
      <w:pPr>
        <w:spacing w:after="0" w:line="234" w:lineRule="exact"/>
        <w:rPr>
          <w:sz w:val="20"/>
          <w:szCs w:val="20"/>
          <w:color w:val="auto"/>
        </w:rPr>
      </w:pPr>
    </w:p>
    <w:p>
      <w:pPr>
        <w:ind w:right="40" w:firstLine="324"/>
        <w:spacing w:after="0" w:line="246" w:lineRule="auto"/>
        <w:rPr>
          <w:sz w:val="20"/>
          <w:szCs w:val="20"/>
          <w:color w:val="auto"/>
        </w:rPr>
      </w:pPr>
      <w:r>
        <w:rPr>
          <w:rFonts w:ascii="Arial" w:cs="Arial" w:eastAsia="Arial" w:hAnsi="Arial"/>
          <w:sz w:val="21"/>
          <w:szCs w:val="21"/>
          <w:color w:val="auto"/>
        </w:rPr>
        <w:t>5.1 We seek to outperform our competition fairly and honestly. We seek competitive advantages through superior performance of the members of our team, not through unethical or illegal business practices. Information about other companies and organizations, including competitors, must be gathered using appropriate methods. Illegal practices such as trespassing, burglary, misrepresentation, wiretapping, and stealing are prohibited. Possession of trade secrets that were obtained without the owner's consent, or inducing such disclosures by customers or past or present employees of other companies is prohibited. Each covered person is expected to deal fairly with the Company's customers, suppliers, competitors and employees. No covered person should take unfair advantage of anyone through manipulation, concealment, abuse of privileged information, misrepresentation of material facts or any other unfair business practice.</w:t>
      </w:r>
    </w:p>
    <w:p>
      <w:pPr>
        <w:spacing w:after="0" w:line="20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Protection and Proper Use of Company Property, Including Data</w:t>
      </w:r>
      <w:r>
        <w:rPr>
          <w:rFonts w:ascii="Arial" w:cs="Arial" w:eastAsia="Arial" w:hAnsi="Arial"/>
          <w:sz w:val="22"/>
          <w:szCs w:val="22"/>
          <w:color w:val="auto"/>
        </w:rPr>
        <w:t>.</w:t>
      </w:r>
    </w:p>
    <w:p>
      <w:pPr>
        <w:spacing w:after="0" w:line="233" w:lineRule="exact"/>
        <w:rPr>
          <w:sz w:val="20"/>
          <w:szCs w:val="20"/>
          <w:color w:val="auto"/>
        </w:rPr>
      </w:pPr>
    </w:p>
    <w:p>
      <w:pPr>
        <w:ind w:right="500" w:firstLine="324"/>
        <w:spacing w:after="0"/>
        <w:rPr>
          <w:sz w:val="20"/>
          <w:szCs w:val="20"/>
          <w:color w:val="auto"/>
        </w:rPr>
      </w:pPr>
      <w:r>
        <w:rPr>
          <w:rFonts w:ascii="Arial" w:cs="Arial" w:eastAsia="Arial" w:hAnsi="Arial"/>
          <w:sz w:val="22"/>
          <w:szCs w:val="22"/>
          <w:color w:val="auto"/>
        </w:rPr>
        <w:t>6.1 All covered persons should seek to protect and preserve the Company's assets and ensure their efficient use. Theft, carelessness and waste have a direct impact on the Company's profitability. All assets of the Company should be used only for legitimate business purposes.</w:t>
      </w:r>
    </w:p>
    <w:p>
      <w:pPr>
        <w:spacing w:after="0" w:line="213" w:lineRule="exact"/>
        <w:rPr>
          <w:sz w:val="20"/>
          <w:szCs w:val="20"/>
          <w:color w:val="auto"/>
        </w:rPr>
      </w:pPr>
    </w:p>
    <w:p>
      <w:pPr>
        <w:ind w:right="120" w:firstLine="324"/>
        <w:spacing w:after="0" w:line="238" w:lineRule="auto"/>
        <w:rPr>
          <w:sz w:val="20"/>
          <w:szCs w:val="20"/>
          <w:color w:val="auto"/>
        </w:rPr>
      </w:pPr>
      <w:r>
        <w:rPr>
          <w:rFonts w:ascii="Arial" w:cs="Arial" w:eastAsia="Arial" w:hAnsi="Arial"/>
          <w:sz w:val="22"/>
          <w:szCs w:val="22"/>
          <w:color w:val="auto"/>
        </w:rPr>
        <w:t>6.2 Company information is often transmitted via telecommunications devices such as telephone, cellular phones, internet and email. Use of Company information and data imposes certain obligations on covered person to safeguard the confidentiality and integrity of such information and data. Usage of such telecommunications devices must be ethical and honest with a view to the preservation of the Company's intellectual property.</w:t>
      </w:r>
    </w:p>
    <w:p>
      <w:pPr>
        <w:spacing w:after="0" w:line="21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Public Company Reporting; Whistleblower Procedures</w:t>
      </w:r>
      <w:r>
        <w:rPr>
          <w:rFonts w:ascii="Arial" w:cs="Arial" w:eastAsia="Arial" w:hAnsi="Arial"/>
          <w:sz w:val="22"/>
          <w:szCs w:val="22"/>
          <w:color w:val="auto"/>
        </w:rPr>
        <w:t>.</w:t>
      </w:r>
    </w:p>
    <w:p>
      <w:pPr>
        <w:spacing w:after="0" w:line="233" w:lineRule="exact"/>
        <w:rPr>
          <w:sz w:val="20"/>
          <w:szCs w:val="20"/>
          <w:color w:val="auto"/>
        </w:rPr>
      </w:pPr>
    </w:p>
    <w:p>
      <w:pPr>
        <w:jc w:val="both"/>
        <w:ind w:right="100" w:firstLine="324"/>
        <w:spacing w:after="0" w:line="297" w:lineRule="auto"/>
        <w:rPr>
          <w:sz w:val="20"/>
          <w:szCs w:val="20"/>
          <w:color w:val="auto"/>
        </w:rPr>
      </w:pPr>
      <w:r>
        <w:rPr>
          <w:rFonts w:ascii="Arial" w:cs="Arial" w:eastAsia="Arial" w:hAnsi="Arial"/>
          <w:sz w:val="19"/>
          <w:szCs w:val="19"/>
          <w:color w:val="auto"/>
        </w:rPr>
        <w:t>7.1 inTEST is a public company. The Federal securities laws and rules of the applicable stock exchanges require disclosure of certain financial and non-financial information. Our filings must be full, fair, accurate, timely and understandable. Whether or not you are directly involved in the process of preparing such filings, every covered person is responsible:</w:t>
      </w:r>
    </w:p>
    <w:p>
      <w:pPr>
        <w:spacing w:after="0" w:line="161"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7.1.1 if called upon by management to provide information relevant to such a filing, to assure that the information you provide is complete, fair, timely and understandable, and that is provided to management promptly, as our filings are time-sensitive.</w:t>
      </w:r>
    </w:p>
    <w:p>
      <w:pPr>
        <w:spacing w:after="0" w:line="132" w:lineRule="exact"/>
        <w:rPr>
          <w:sz w:val="20"/>
          <w:szCs w:val="20"/>
          <w:color w:val="auto"/>
        </w:rPr>
      </w:pPr>
    </w:p>
    <w:p>
      <w:pPr>
        <w:jc w:val="both"/>
        <w:ind w:right="300" w:firstLine="648"/>
        <w:spacing w:after="0"/>
        <w:rPr>
          <w:sz w:val="20"/>
          <w:szCs w:val="20"/>
          <w:color w:val="auto"/>
        </w:rPr>
      </w:pPr>
      <w:r>
        <w:rPr>
          <w:rFonts w:ascii="Arial" w:cs="Arial" w:eastAsia="Arial" w:hAnsi="Arial"/>
          <w:sz w:val="22"/>
          <w:szCs w:val="22"/>
          <w:color w:val="auto"/>
        </w:rPr>
        <w:t>7.1.2 to ensure that the Company's books and records appropriately reflect our transactions and are posted in accordance with the Company's system of internal controls. Unrecorded or "off the books" funds or entries should not be maintained unless permitted by applicable Law. Refer to the FCPA Policy for more information;</w:t>
      </w:r>
    </w:p>
    <w:p>
      <w:pPr>
        <w:spacing w:after="0" w:line="213" w:lineRule="exact"/>
        <w:rPr>
          <w:sz w:val="20"/>
          <w:szCs w:val="20"/>
          <w:color w:val="auto"/>
        </w:rPr>
      </w:pPr>
    </w:p>
    <w:p>
      <w:pPr>
        <w:ind w:right="180" w:firstLine="648"/>
        <w:spacing w:after="0" w:line="251" w:lineRule="auto"/>
        <w:rPr>
          <w:sz w:val="20"/>
          <w:szCs w:val="20"/>
          <w:color w:val="auto"/>
        </w:rPr>
      </w:pPr>
      <w:r>
        <w:rPr>
          <w:rFonts w:ascii="Arial" w:cs="Arial" w:eastAsia="Arial" w:hAnsi="Arial"/>
          <w:sz w:val="22"/>
          <w:szCs w:val="22"/>
          <w:color w:val="auto"/>
        </w:rPr>
        <w:t>7.1.3 to make management aware if you believe that any of our public reports is inaccurate or fails to fairly reflect what is happening at the Company.</w:t>
      </w:r>
    </w:p>
    <w:p>
      <w:pPr>
        <w:spacing w:after="0" w:line="200"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7.2 Because of the importance of this issue, the Board of Directors has charged its Audit Committee with responsibility for ensuring that every employee has a means of reporting, anonymously and confidentially, any concerns about the manner in which the Company's financial statements or public reports are prepared, the sufficiency of its internal financial controls, the honesty or competence of its financial management or independent auditors or any other matter regarding any accounting or auditing matters. As described below at Section 9.5, the Company has established a confidential, anonymous hotline service so that covered persons may report any concerns. Additional procedures for such reporting are set forth in the Company's Whistleblower Policy that is part of the Employee Handbook. The Company prohibits retaliation against any person who, in good faith, reports potential issues to the Audit Committee Chair or the Chief Financial Officer.</w:t>
      </w:r>
    </w:p>
    <w:p>
      <w:pPr>
        <w:spacing w:after="0" w:line="208"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Covering Up Mistakes; Falsifying Records; Retention of Business Records</w:t>
      </w:r>
      <w:r>
        <w:rPr>
          <w:rFonts w:ascii="Arial" w:cs="Arial" w:eastAsia="Arial" w:hAnsi="Arial"/>
          <w:sz w:val="22"/>
          <w:szCs w:val="22"/>
          <w:color w:val="auto"/>
        </w:rPr>
        <w:t>.</w:t>
      </w:r>
    </w:p>
    <w:p>
      <w:pPr>
        <w:spacing w:after="0" w:line="233" w:lineRule="exact"/>
        <w:rPr>
          <w:sz w:val="20"/>
          <w:szCs w:val="20"/>
          <w:color w:val="auto"/>
        </w:rPr>
      </w:pPr>
    </w:p>
    <w:p>
      <w:pPr>
        <w:ind w:right="180" w:firstLine="324"/>
        <w:spacing w:after="0" w:line="251" w:lineRule="auto"/>
        <w:rPr>
          <w:sz w:val="20"/>
          <w:szCs w:val="20"/>
          <w:color w:val="auto"/>
        </w:rPr>
      </w:pPr>
      <w:r>
        <w:rPr>
          <w:rFonts w:ascii="Arial" w:cs="Arial" w:eastAsia="Arial" w:hAnsi="Arial"/>
          <w:sz w:val="22"/>
          <w:szCs w:val="22"/>
          <w:color w:val="auto"/>
        </w:rPr>
        <w:t>8.1 Falsification of any Company, customer or third party record is prohibited. Mistakes should not be covered up, but should be immediately and fully disclosed and corrected.</w:t>
      </w:r>
    </w:p>
    <w:p>
      <w:pPr>
        <w:spacing w:after="0" w:line="20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9"/>
          <w:szCs w:val="19"/>
          <w:color w:val="auto"/>
        </w:rPr>
        <w:t>8.2 Company records (including paper copies and electronically stored information) must be retained unless destruction is permitted pursuant to document retention policies adopted by the Company from time to time. Sometimes the Company may issue a litigation hold notice, or there may be instructions regarding the preservation of documents or electronically stored information related to a pending or threatened litigation, government inquiry, subpoena or other information request. In such cases, no documents or electronically stored information may be discarded or destroyed, regardless of any applicable document retention policy. In addition, you should never destroy, alter, or conceal any record or otherwise impede any official proceeding or investigation, either personally, in conjunction with another, or by attempting to influence another person.</w:t>
      </w:r>
    </w:p>
    <w:p>
      <w:pPr>
        <w:spacing w:after="0" w:line="180" w:lineRule="exact"/>
        <w:rPr>
          <w:sz w:val="20"/>
          <w:szCs w:val="20"/>
          <w:color w:val="auto"/>
        </w:rPr>
      </w:pPr>
    </w:p>
    <w:p>
      <w:pPr>
        <w:ind w:right="80" w:firstLine="324"/>
        <w:spacing w:after="0" w:line="251" w:lineRule="auto"/>
        <w:rPr>
          <w:sz w:val="20"/>
          <w:szCs w:val="20"/>
          <w:color w:val="auto"/>
        </w:rPr>
      </w:pPr>
      <w:r>
        <w:rPr>
          <w:rFonts w:ascii="Arial" w:cs="Arial" w:eastAsia="Arial" w:hAnsi="Arial"/>
          <w:sz w:val="22"/>
          <w:szCs w:val="22"/>
          <w:color w:val="auto"/>
        </w:rPr>
        <w:t>8.3 In the event of litigation, government inquiry or investigation, we will designate a member of management that you should consult with to determine whether records should be preserved and/or produced.</w:t>
      </w:r>
    </w:p>
    <w:p>
      <w:pPr>
        <w:spacing w:after="0" w:line="20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Reporting of Illegal or Unethical Behavior</w:t>
      </w:r>
      <w:r>
        <w:rPr>
          <w:rFonts w:ascii="Arial" w:cs="Arial" w:eastAsia="Arial" w:hAnsi="Arial"/>
          <w:sz w:val="22"/>
          <w:szCs w:val="22"/>
          <w:color w:val="auto"/>
        </w:rPr>
        <w:t>.</w:t>
      </w:r>
    </w:p>
    <w:p>
      <w:pPr>
        <w:spacing w:after="0" w:line="233" w:lineRule="exact"/>
        <w:rPr>
          <w:sz w:val="20"/>
          <w:szCs w:val="20"/>
          <w:color w:val="auto"/>
        </w:rPr>
      </w:pPr>
    </w:p>
    <w:p>
      <w:pPr>
        <w:ind w:right="240" w:firstLine="324"/>
        <w:spacing w:after="0" w:line="274" w:lineRule="auto"/>
        <w:rPr>
          <w:sz w:val="20"/>
          <w:szCs w:val="20"/>
          <w:color w:val="auto"/>
        </w:rPr>
      </w:pPr>
      <w:r>
        <w:rPr>
          <w:rFonts w:ascii="Arial" w:cs="Arial" w:eastAsia="Arial" w:hAnsi="Arial"/>
          <w:sz w:val="21"/>
          <w:szCs w:val="21"/>
          <w:color w:val="auto"/>
        </w:rPr>
        <w:t>9.1 Covered persons have a duty to adhere to this Code and all other Company policies and to report promptly any suspected violations of this Code or any other illegal or unethical behavior as set forth in this Code and in other policies.</w:t>
      </w:r>
    </w:p>
    <w:p>
      <w:pPr>
        <w:sectPr>
          <w:pgSz w:w="11900" w:h="16838" w:orient="portrait"/>
          <w:cols w:equalWidth="0" w:num="1">
            <w:col w:w="11420"/>
          </w:cols>
          <w:pgMar w:left="240" w:top="118" w:right="239" w:bottom="0" w:gutter="0" w:footer="0" w:header="0"/>
        </w:sectPr>
      </w:pPr>
    </w:p>
    <w:bookmarkStart w:id="24" w:name="page25"/>
    <w:bookmarkEnd w:id="24"/>
    <w:p>
      <w:pPr>
        <w:ind w:right="680" w:firstLine="324"/>
        <w:spacing w:after="0" w:line="238" w:lineRule="auto"/>
        <w:rPr>
          <w:sz w:val="20"/>
          <w:szCs w:val="20"/>
          <w:color w:val="auto"/>
        </w:rPr>
      </w:pPr>
      <w:r>
        <w:rPr>
          <w:rFonts w:ascii="Arial" w:cs="Arial" w:eastAsia="Arial" w:hAnsi="Arial"/>
          <w:sz w:val="22"/>
          <w:szCs w:val="22"/>
          <w:color w:val="auto"/>
        </w:rPr>
        <w:t>9.2 You may make such a report orally or in writing, and, if preferred, anonymously. The Company has engaged Ethical Advocate, an organization that specializes in advocating ethical culture and behavior in the workplace, to work with us in developing systems and communications to achieve integrity, ethical behavior, openness, and the ability to quickly react to suggestions, feedback, and unethical behavior in our workplace.</w:t>
      </w:r>
    </w:p>
    <w:p>
      <w:pPr>
        <w:spacing w:after="0" w:line="213" w:lineRule="exact"/>
        <w:rPr>
          <w:sz w:val="20"/>
          <w:szCs w:val="20"/>
          <w:color w:val="auto"/>
        </w:rPr>
      </w:pPr>
    </w:p>
    <w:p>
      <w:pPr>
        <w:ind w:right="80" w:firstLine="324"/>
        <w:spacing w:after="0" w:line="252" w:lineRule="auto"/>
        <w:rPr>
          <w:sz w:val="20"/>
          <w:szCs w:val="20"/>
          <w:color w:val="auto"/>
        </w:rPr>
      </w:pPr>
      <w:r>
        <w:rPr>
          <w:rFonts w:ascii="Arial" w:cs="Arial" w:eastAsia="Arial" w:hAnsi="Arial"/>
          <w:sz w:val="21"/>
          <w:szCs w:val="21"/>
          <w:color w:val="auto"/>
        </w:rPr>
        <w:t>9.3 Ethical Advocate provides anonymous and confidential incident reporting through their fully secure, encrypted web site reporting pages. It can be difficult to report something that needs addressing, whether it is about a situation or a person. Employees and shareholders within inTEST Corporation need to feel secure that their concerns will be seen or heard; something will be done about it; and if they choose, their anonymity and confidentiality be maintained.</w:t>
      </w:r>
    </w:p>
    <w:p>
      <w:pPr>
        <w:spacing w:after="0" w:line="201" w:lineRule="exact"/>
        <w:rPr>
          <w:sz w:val="20"/>
          <w:szCs w:val="20"/>
          <w:color w:val="auto"/>
        </w:rPr>
      </w:pPr>
    </w:p>
    <w:p>
      <w:pPr>
        <w:ind w:right="40" w:firstLine="324"/>
        <w:spacing w:after="0" w:line="248" w:lineRule="auto"/>
        <w:rPr>
          <w:sz w:val="20"/>
          <w:szCs w:val="20"/>
          <w:color w:val="auto"/>
        </w:rPr>
      </w:pPr>
      <w:r>
        <w:rPr>
          <w:rFonts w:ascii="Arial" w:cs="Arial" w:eastAsia="Arial" w:hAnsi="Arial"/>
          <w:sz w:val="21"/>
          <w:szCs w:val="21"/>
          <w:color w:val="auto"/>
        </w:rPr>
        <w:t>9.4 Prior to submitting a report to Ethical Advocate you should make the best effort possible to resolve a particular issue through inTEST Corporation's administrative process and/or supervisory management. If you have any doubt regarding the legality or ethics of a particular situation, consult with your manager or the local Manager of the Human Resources Department. If you do not believe that talking to your manager is appropriate, or if doing so does not result in a response with which you are comfortable, then you should discuss the matter with the Compliance Officer, or, in the case of accounting or auditing issues, the Chief Financial Officer or a member of the Audit Committee of the Board of Directors.</w:t>
      </w:r>
    </w:p>
    <w:p>
      <w:pPr>
        <w:spacing w:after="0" w:line="204" w:lineRule="exact"/>
        <w:rPr>
          <w:sz w:val="20"/>
          <w:szCs w:val="20"/>
          <w:color w:val="auto"/>
        </w:rPr>
      </w:pPr>
    </w:p>
    <w:p>
      <w:pPr>
        <w:ind w:right="360" w:firstLine="324"/>
        <w:spacing w:after="0" w:line="282" w:lineRule="auto"/>
        <w:rPr>
          <w:sz w:val="20"/>
          <w:szCs w:val="20"/>
          <w:color w:val="auto"/>
        </w:rPr>
      </w:pPr>
      <w:r>
        <w:rPr>
          <w:rFonts w:ascii="Arial" w:cs="Arial" w:eastAsia="Arial" w:hAnsi="Arial"/>
          <w:sz w:val="19"/>
          <w:szCs w:val="19"/>
          <w:color w:val="auto"/>
        </w:rPr>
        <w:t>9.5 If, however, you believe it is best to submit your thoughts or to report an incident through Ethical Advocate, you will remain anonymous, if you select that option. Your comments, suggestions, and valuable feedback will have a direct result to the success of our organization. To utilize Ethical Advocate go to our direct reporting page within Ethical Advocate, https://intest.ethicaladvocate.com, or call toll free at 866-716-0279, 24 hours a day, any day of the year. In order to ensure maximum anonymity and confidentiality, we strongly urge you to not submit reports from inTEST Corporation's computers.</w:t>
      </w:r>
    </w:p>
    <w:p>
      <w:pPr>
        <w:spacing w:after="0" w:line="175"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Protection Against Retaliation</w:t>
      </w:r>
      <w:r>
        <w:rPr>
          <w:rFonts w:ascii="Arial" w:cs="Arial" w:eastAsia="Arial" w:hAnsi="Arial"/>
          <w:sz w:val="22"/>
          <w:szCs w:val="22"/>
          <w:color w:val="auto"/>
        </w:rPr>
        <w:t>.</w:t>
      </w:r>
    </w:p>
    <w:p>
      <w:pPr>
        <w:spacing w:after="0" w:line="233" w:lineRule="exact"/>
        <w:rPr>
          <w:sz w:val="20"/>
          <w:szCs w:val="20"/>
          <w:color w:val="auto"/>
        </w:rPr>
      </w:pPr>
    </w:p>
    <w:p>
      <w:pPr>
        <w:jc w:val="both"/>
        <w:ind w:right="540" w:firstLine="270"/>
        <w:spacing w:after="0" w:line="287" w:lineRule="auto"/>
        <w:rPr>
          <w:sz w:val="20"/>
          <w:szCs w:val="20"/>
          <w:color w:val="auto"/>
        </w:rPr>
      </w:pPr>
      <w:r>
        <w:rPr>
          <w:rFonts w:ascii="Arial" w:cs="Arial" w:eastAsia="Arial" w:hAnsi="Arial"/>
          <w:sz w:val="19"/>
          <w:szCs w:val="19"/>
          <w:color w:val="auto"/>
        </w:rPr>
        <w:t>10.1 As set forth in the Whistleblower Policy, the Company will not tolerate retaliation against anyone who, in good faith, reports a suspected or actual violation of this Code. Any person who takes any retaliatory or other adverse action against any covered person for raising, in good faith, any question or concern about compliance with this Code will be subject to serious sanctions, which may include termination of employment or other business relationships.</w:t>
      </w:r>
    </w:p>
    <w:p>
      <w:pPr>
        <w:spacing w:after="0" w:line="170" w:lineRule="exact"/>
        <w:rPr>
          <w:sz w:val="20"/>
          <w:szCs w:val="20"/>
          <w:color w:val="auto"/>
        </w:rPr>
      </w:pPr>
    </w:p>
    <w:p>
      <w:pPr>
        <w:ind w:right="100" w:firstLine="270"/>
        <w:spacing w:after="0" w:line="328" w:lineRule="auto"/>
        <w:rPr>
          <w:sz w:val="20"/>
          <w:szCs w:val="20"/>
          <w:color w:val="auto"/>
        </w:rPr>
      </w:pPr>
      <w:r>
        <w:rPr>
          <w:rFonts w:ascii="Arial" w:cs="Arial" w:eastAsia="Arial" w:hAnsi="Arial"/>
          <w:sz w:val="19"/>
          <w:szCs w:val="19"/>
          <w:color w:val="auto"/>
        </w:rPr>
        <w:t>10.2 If any individual believes that he or she has been subject to retaliation for reporting an actual or suspected violation, or for participating in an investigation of such a report, must follow the procedures set forth in the Whistleblower Policy.</w:t>
      </w:r>
    </w:p>
    <w:p>
      <w:pPr>
        <w:spacing w:after="0" w:line="132"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Administration and Waiver of Code of Ethics</w:t>
      </w:r>
      <w:r>
        <w:rPr>
          <w:rFonts w:ascii="Arial" w:cs="Arial" w:eastAsia="Arial" w:hAnsi="Arial"/>
          <w:sz w:val="22"/>
          <w:szCs w:val="22"/>
          <w:color w:val="auto"/>
        </w:rPr>
        <w:t>.</w:t>
      </w:r>
    </w:p>
    <w:p>
      <w:pPr>
        <w:spacing w:after="0" w:line="233" w:lineRule="exact"/>
        <w:rPr>
          <w:sz w:val="20"/>
          <w:szCs w:val="20"/>
          <w:color w:val="auto"/>
        </w:rPr>
      </w:pPr>
    </w:p>
    <w:p>
      <w:pPr>
        <w:ind w:right="220" w:firstLine="270"/>
        <w:spacing w:after="0" w:line="328" w:lineRule="auto"/>
        <w:rPr>
          <w:sz w:val="20"/>
          <w:szCs w:val="20"/>
          <w:color w:val="auto"/>
        </w:rPr>
      </w:pPr>
      <w:r>
        <w:rPr>
          <w:rFonts w:ascii="Arial" w:cs="Arial" w:eastAsia="Arial" w:hAnsi="Arial"/>
          <w:sz w:val="19"/>
          <w:szCs w:val="19"/>
          <w:color w:val="auto"/>
        </w:rPr>
        <w:t>11.1 This Code of Ethics shall be administered and enforced by the Human Resources Department. Any questions and further information regarding this Code of Ethics should be directed to the local Manager of the Human Resources Department.</w:t>
      </w:r>
    </w:p>
    <w:p>
      <w:pPr>
        <w:spacing w:after="0" w:line="132" w:lineRule="exact"/>
        <w:rPr>
          <w:sz w:val="20"/>
          <w:szCs w:val="20"/>
          <w:color w:val="auto"/>
        </w:rPr>
      </w:pPr>
    </w:p>
    <w:p>
      <w:pPr>
        <w:ind w:right="460" w:firstLine="270"/>
        <w:spacing w:after="0" w:line="251" w:lineRule="auto"/>
        <w:rPr>
          <w:sz w:val="20"/>
          <w:szCs w:val="20"/>
          <w:color w:val="auto"/>
        </w:rPr>
      </w:pPr>
      <w:r>
        <w:rPr>
          <w:rFonts w:ascii="Arial" w:cs="Arial" w:eastAsia="Arial" w:hAnsi="Arial"/>
          <w:sz w:val="22"/>
          <w:szCs w:val="22"/>
          <w:color w:val="auto"/>
        </w:rPr>
        <w:t>11.2 Appropriate disciplinary penalties for violations of this Code may include counseling, reprimand, warning, restitution, suspension (with or without pay), demotion, salary reduction and termination of employment.</w:t>
      </w:r>
    </w:p>
    <w:p>
      <w:pPr>
        <w:spacing w:after="0" w:line="200" w:lineRule="exact"/>
        <w:rPr>
          <w:sz w:val="20"/>
          <w:szCs w:val="20"/>
          <w:color w:val="auto"/>
        </w:rPr>
      </w:pPr>
    </w:p>
    <w:p>
      <w:pPr>
        <w:ind w:right="300" w:firstLine="270"/>
        <w:spacing w:after="0"/>
        <w:rPr>
          <w:sz w:val="20"/>
          <w:szCs w:val="20"/>
          <w:color w:val="auto"/>
        </w:rPr>
      </w:pPr>
      <w:r>
        <w:rPr>
          <w:rFonts w:ascii="Arial" w:cs="Arial" w:eastAsia="Arial" w:hAnsi="Arial"/>
          <w:sz w:val="22"/>
          <w:szCs w:val="22"/>
          <w:color w:val="auto"/>
        </w:rPr>
        <w:t>11.3 The Human Resources Department will be responsible for affirming compliance with this Code of Ethics by all covered persons. Each covered person will be required to sign a certificate that he or she has read and understands the provisions of this Code.</w:t>
      </w:r>
    </w:p>
    <w:p>
      <w:pPr>
        <w:spacing w:after="0" w:line="213"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w:t>
      </w:r>
    </w:p>
    <w:p>
      <w:pPr>
        <w:spacing w:after="0" w:line="233" w:lineRule="exact"/>
        <w:rPr>
          <w:sz w:val="20"/>
          <w:szCs w:val="20"/>
          <w:color w:val="auto"/>
        </w:rPr>
      </w:pPr>
    </w:p>
    <w:p>
      <w:pPr>
        <w:ind w:firstLine="270"/>
        <w:spacing w:after="0" w:line="235" w:lineRule="auto"/>
        <w:rPr>
          <w:sz w:val="20"/>
          <w:szCs w:val="20"/>
          <w:color w:val="auto"/>
        </w:rPr>
      </w:pPr>
      <w:r>
        <w:rPr>
          <w:rFonts w:ascii="Arial" w:cs="Arial" w:eastAsia="Arial" w:hAnsi="Arial"/>
          <w:sz w:val="22"/>
          <w:szCs w:val="22"/>
          <w:color w:val="auto"/>
        </w:rPr>
        <w:t>12.1 Covered persons are expected to follow this Code at all times. Generally, there should be no waivers to this Code of Ethics, however, in rare circumstances conflicts may arise that necessitate waivers. Waivers will be determined on a case-by-case basis by the Human Resources Department with the advice of senior management, the Audit Committee, and/or legal counsel as appropriate. Waivers for directors and executive officers may be determined only by the Board of Directors who shall have the sole and absolute discretionary authority to approve any deviation or waiver from this Code of Ethics with respect to any director or executive officer.</w:t>
      </w:r>
    </w:p>
    <w:p>
      <w:pPr>
        <w:spacing w:after="0" w:line="215" w:lineRule="exact"/>
        <w:rPr>
          <w:sz w:val="20"/>
          <w:szCs w:val="20"/>
          <w:color w:val="auto"/>
        </w:rPr>
      </w:pPr>
    </w:p>
    <w:p>
      <w:pPr>
        <w:ind w:right="40" w:firstLine="270"/>
        <w:spacing w:after="0" w:line="297" w:lineRule="auto"/>
        <w:rPr>
          <w:sz w:val="20"/>
          <w:szCs w:val="20"/>
          <w:color w:val="auto"/>
        </w:rPr>
      </w:pPr>
      <w:r>
        <w:rPr>
          <w:rFonts w:ascii="Arial" w:cs="Arial" w:eastAsia="Arial" w:hAnsi="Arial"/>
          <w:sz w:val="19"/>
          <w:szCs w:val="19"/>
          <w:color w:val="auto"/>
        </w:rPr>
        <w:t>12.2 If the Board of Directors grants a waiver, including an implicit waiver or a failure to take action within a reasonable period of time, regarding a material departure from a provision of this Code of Ethics by the Chief Executive Officer or the Chief Financial Officer, such waiver shall be promptly disclosed to stockholders in accordance with requirements of the SEC.</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18"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12, 2016</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Quarterly Report of inTEST Corporation (the "Company") on Form 10-Q for the period ending June 30, 2016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20" w:firstLine="8"/>
        <w:spacing w:after="0" w:line="275" w:lineRule="auto"/>
        <w:tabs>
          <w:tab w:leader="none" w:pos="344" w:val="left"/>
        </w:tabs>
        <w:numPr>
          <w:ilvl w:val="0"/>
          <w:numId w:val="21"/>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21"/>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12,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0"/>
        <w:spacing w:after="0" w:line="286" w:lineRule="auto"/>
        <w:rPr>
          <w:sz w:val="20"/>
          <w:szCs w:val="20"/>
          <w:color w:val="auto"/>
        </w:rPr>
      </w:pPr>
      <w:r>
        <w:rPr>
          <w:rFonts w:ascii="Arial" w:cs="Arial" w:eastAsia="Arial" w:hAnsi="Arial"/>
          <w:sz w:val="22"/>
          <w:szCs w:val="22"/>
          <w:color w:val="auto"/>
        </w:rPr>
        <w:t>In connection with the Quarterly Report of inTEST Corporation (the "Company") on Form 10-Q for the period ending June 30, 2016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12" w:lineRule="exact"/>
        <w:rPr>
          <w:sz w:val="20"/>
          <w:szCs w:val="20"/>
          <w:color w:val="auto"/>
        </w:rPr>
      </w:pPr>
    </w:p>
    <w:p>
      <w:pPr>
        <w:ind w:right="520" w:firstLine="8"/>
        <w:spacing w:after="0" w:line="275" w:lineRule="auto"/>
        <w:tabs>
          <w:tab w:leader="none" w:pos="344" w:val="left"/>
        </w:tabs>
        <w:numPr>
          <w:ilvl w:val="0"/>
          <w:numId w:val="22"/>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22"/>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August 12, 2016</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upperLetter"/>
      <w:start w:val="24"/>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2"/>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4"/>
    </w:lvl>
  </w:abstractNum>
  <w:abstractNum w:abstractNumId="10">
    <w:nsid w:val="4E6AFB66"/>
    <w:multiLevelType w:val="hybridMultilevel"/>
    <w:lvl w:ilvl="0">
      <w:lvlJc w:val="left"/>
      <w:lvlText w:val="%1."/>
      <w:numFmt w:val="decimal"/>
      <w:start w:val="5"/>
    </w:lvl>
  </w:abstractNum>
  <w:abstractNum w:abstractNumId="11">
    <w:nsid w:val="25E45D32"/>
    <w:multiLevelType w:val="hybridMultilevel"/>
    <w:lvl w:ilvl="0">
      <w:lvlJc w:val="left"/>
      <w:lvlText w:val="%1."/>
      <w:numFmt w:val="decimal"/>
      <w:start w:val="6"/>
    </w:lvl>
  </w:abstractNum>
  <w:abstractNum w:abstractNumId="12">
    <w:nsid w:val="519B500D"/>
    <w:multiLevelType w:val="hybridMultilevel"/>
    <w:lvl w:ilvl="0">
      <w:lvlJc w:val="left"/>
      <w:lvlText w:val="%1."/>
      <w:numFmt w:val="decimal"/>
      <w:start w:val="7"/>
    </w:lvl>
  </w:abstractNum>
  <w:abstractNum w:abstractNumId="13">
    <w:nsid w:val="431BD7B7"/>
    <w:multiLevelType w:val="hybridMultilevel"/>
    <w:lvl w:ilvl="0">
      <w:lvlJc w:val="left"/>
      <w:lvlText w:val="%1."/>
      <w:numFmt w:val="decimal"/>
      <w:start w:val="8"/>
    </w:lvl>
  </w:abstractNum>
  <w:abstractNum w:abstractNumId="14">
    <w:nsid w:val="3F2DBA31"/>
    <w:multiLevelType w:val="hybridMultilevel"/>
    <w:lvl w:ilvl="0">
      <w:lvlJc w:val="left"/>
      <w:lvlText w:val="%1."/>
      <w:numFmt w:val="decimal"/>
      <w:start w:val="9"/>
    </w:lvl>
  </w:abstractNum>
  <w:abstractNum w:abstractNumId="15">
    <w:nsid w:val="7C83E458"/>
    <w:multiLevelType w:val="hybridMultilevel"/>
    <w:lvl w:ilvl="0">
      <w:lvlJc w:val="left"/>
      <w:lvlText w:val="%1."/>
      <w:numFmt w:val="decimal"/>
      <w:start w:val="10"/>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decimal"/>
      <w:start w:val="1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2019-12-06T16:39:55Z</dcterms:created>
  <dcterms:modified xsi:type="dcterms:W3CDTF">2019-12-06T16:39:55Z</dcterms:modified>
</cp:coreProperties>
</file>