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154305</wp:posOffset>
            </wp:positionV>
            <wp:extent cx="1062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221" w:lineRule="exact"/>
        <w:rPr>
          <w:sz w:val="24"/>
          <w:szCs w:val="24"/>
          <w:color w:val="auto"/>
        </w:rPr>
      </w:pPr>
    </w:p>
    <w:p>
      <w:pPr>
        <w:ind w:left="3840" w:right="1680" w:hanging="3832"/>
        <w:spacing w:after="0" w:line="282" w:lineRule="auto"/>
        <w:tabs>
          <w:tab w:leader="none" w:pos="33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2023</w:t>
      </w:r>
      <w:r>
        <w:rPr>
          <w:rFonts w:ascii="Arial" w:cs="Arial" w:eastAsia="Arial" w:hAnsi="Arial"/>
          <w:sz w:val="18"/>
          <w:szCs w:val="18"/>
          <w:color w:val="auto"/>
        </w:rPr>
        <w:t xml:space="preserve"> or</w:t>
      </w:r>
    </w:p>
    <w:p>
      <w:pPr>
        <w:spacing w:after="0" w:line="37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352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3618230</wp:posOffset>
            </wp:positionH>
            <wp:positionV relativeFrom="paragraph">
              <wp:posOffset>-20320</wp:posOffset>
            </wp:positionV>
            <wp:extent cx="1292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2860" cy="8890"/>
                    </a:xfrm>
                    <a:prstGeom prst="rect">
                      <a:avLst/>
                    </a:prstGeom>
                    <a:noFill/>
                  </pic:spPr>
                </pic:pic>
              </a:graphicData>
            </a:graphic>
          </wp:anchor>
        </w:drawing>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inTEST Corporation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780" w:type="dxa"/>
            <w:vAlign w:val="bottom"/>
          </w:tcPr>
          <w:p>
            <w:pPr>
              <w:spacing w:after="0"/>
              <w:rPr>
                <w:sz w:val="17"/>
                <w:szCs w:val="17"/>
                <w:color w:val="auto"/>
              </w:rPr>
            </w:pPr>
          </w:p>
        </w:tc>
        <w:tc>
          <w:tcPr>
            <w:tcW w:w="2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22-2370659</w:t>
            </w:r>
          </w:p>
        </w:tc>
        <w:tc>
          <w:tcPr>
            <w:tcW w:w="1040" w:type="dxa"/>
            <w:vAlign w:val="bottom"/>
          </w:tcPr>
          <w:p>
            <w:pPr>
              <w:spacing w:after="0"/>
              <w:rPr>
                <w:sz w:val="17"/>
                <w:szCs w:val="17"/>
                <w:color w:val="auto"/>
              </w:rPr>
            </w:pPr>
          </w:p>
        </w:tc>
      </w:tr>
      <w:tr>
        <w:trPr>
          <w:trHeight w:val="20"/>
        </w:trPr>
        <w:tc>
          <w:tcPr>
            <w:tcW w:w="1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00" w:type="dxa"/>
            <w:vAlign w:val="bottom"/>
            <w:gridSpan w:val="3"/>
          </w:tcPr>
          <w:p>
            <w:pPr>
              <w:jc w:val="center"/>
              <w:ind w:right="10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gridSpan w:val="3"/>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804 East Gate Drive, Suite 200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020" w:type="dxa"/>
            <w:vAlign w:val="bottom"/>
          </w:tcPr>
          <w:p>
            <w:pPr>
              <w:spacing w:after="0"/>
              <w:rPr>
                <w:sz w:val="18"/>
                <w:szCs w:val="18"/>
                <w:color w:val="auto"/>
              </w:rPr>
            </w:pPr>
          </w:p>
        </w:tc>
        <w:tc>
          <w:tcPr>
            <w:tcW w:w="224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Trading Symbol</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4260" w:type="dxa"/>
            <w:vAlign w:val="bottom"/>
            <w:gridSpan w:val="3"/>
          </w:tcPr>
          <w:p>
            <w:pPr>
              <w:jc w:val="center"/>
              <w:ind w:right="1240"/>
              <w:spacing w:after="0"/>
              <w:rPr>
                <w:sz w:val="20"/>
                <w:szCs w:val="20"/>
                <w:color w:val="auto"/>
              </w:rPr>
            </w:pPr>
            <w:r>
              <w:rPr>
                <w:rFonts w:ascii="Arial" w:cs="Arial" w:eastAsia="Arial" w:hAnsi="Arial"/>
                <w:sz w:val="18"/>
                <w:szCs w:val="18"/>
                <w:color w:val="auto"/>
                <w:w w:val="89"/>
              </w:rPr>
              <w:t>Common Stock, par value $0.01 per share</w:t>
            </w:r>
          </w:p>
        </w:tc>
        <w:tc>
          <w:tcPr>
            <w:tcW w:w="2240" w:type="dxa"/>
            <w:vAlign w:val="bottom"/>
            <w:gridSpan w:val="2"/>
          </w:tcPr>
          <w:p>
            <w:pPr>
              <w:jc w:val="center"/>
              <w:ind w:right="1000"/>
              <w:spacing w:after="0"/>
              <w:rPr>
                <w:sz w:val="20"/>
                <w:szCs w:val="20"/>
                <w:color w:val="auto"/>
              </w:rPr>
            </w:pPr>
            <w:r>
              <w:rPr>
                <w:rFonts w:ascii="Arial" w:cs="Arial" w:eastAsia="Arial" w:hAnsi="Arial"/>
                <w:sz w:val="18"/>
                <w:szCs w:val="18"/>
                <w:color w:val="auto"/>
                <w:w w:val="99"/>
              </w:rPr>
              <w:t>INTT</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NYSE American</w:t>
            </w:r>
          </w:p>
        </w:tc>
      </w:tr>
    </w:tbl>
    <w:p>
      <w:pPr>
        <w:spacing w:after="0" w:line="202" w:lineRule="exact"/>
        <w:rPr>
          <w:sz w:val="24"/>
          <w:szCs w:val="24"/>
          <w:color w:val="auto"/>
        </w:rPr>
      </w:pPr>
    </w:p>
    <w:p>
      <w:pPr>
        <w:ind w:right="1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692" w:right="459" w:bottom="1440" w:gutter="0" w:footer="0" w:header="0"/>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9" w:lineRule="exact"/>
        <w:rPr>
          <w:sz w:val="24"/>
          <w:szCs w:val="24"/>
          <w:color w:val="auto"/>
        </w:rPr>
      </w:pPr>
    </w:p>
    <w:p>
      <w:pPr>
        <w:sectPr>
          <w:pgSz w:w="11900" w:h="16838" w:orient="portrait"/>
          <w:cols w:equalWidth="0" w:num="2">
            <w:col w:w="5460" w:space="720"/>
            <w:col w:w="4940"/>
          </w:cols>
          <w:pgMar w:left="320" w:top="692" w:right="459" w:bottom="1440" w:gutter="0" w:footer="0" w:header="0"/>
          <w:type w:val="continuous"/>
        </w:sect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2">
            <w:col w:w="1980" w:space="80"/>
            <w:col w:w="9060"/>
          </w:cols>
          <w:pgMar w:left="320" w:top="692" w:right="459" w:bottom="1440" w:gutter="0" w:footer="0" w:header="0"/>
          <w:type w:val="continuous"/>
        </w:sectPr>
      </w:pPr>
    </w:p>
    <w:p>
      <w:pPr>
        <w:spacing w:after="0" w:line="34" w:lineRule="exact"/>
        <w:rPr>
          <w:sz w:val="24"/>
          <w:szCs w:val="24"/>
          <w:color w:val="auto"/>
        </w:rPr>
      </w:pPr>
    </w:p>
    <w:p>
      <w:pPr>
        <w:ind w:right="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the close of business on May 1, 2023:  11,131,366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9280" w:type="dxa"/>
            <w:vAlign w:val="bottom"/>
          </w:tcPr>
          <w:p>
            <w:pPr>
              <w:ind w:left="3760"/>
              <w:spacing w:after="0"/>
              <w:rPr>
                <w:sz w:val="20"/>
                <w:szCs w:val="20"/>
                <w:color w:val="auto"/>
              </w:rPr>
            </w:pPr>
            <w:r>
              <w:rPr>
                <w:rFonts w:ascii="Arial" w:cs="Arial" w:eastAsia="Arial" w:hAnsi="Arial"/>
                <w:sz w:val="18"/>
                <w:szCs w:val="18"/>
                <w:b w:val="1"/>
                <w:bCs w:val="1"/>
                <w:color w:val="auto"/>
              </w:rPr>
              <w:t>inTEST CORPORATION</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928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6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Page</w:t>
            </w:r>
          </w:p>
        </w:tc>
      </w:tr>
      <w:tr>
        <w:trPr>
          <w:trHeight w:val="21"/>
        </w:trPr>
        <w:tc>
          <w:tcPr>
            <w:tcW w:w="86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FINANCIAL INFORMATION</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Item 1.</w:t>
            </w:r>
          </w:p>
        </w:tc>
        <w:tc>
          <w:tcPr>
            <w:tcW w:w="928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Financial Statements</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9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Balance Sheets as of March 31, 2023 (Unaudited) and December 31, 2022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6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rPr>
              <w:t>Unaudited Consolidated Statements of Operations for the three months ended March 31, 2023 and 2022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0" w:type="dxa"/>
            <w:vAlign w:val="bottom"/>
            <w:shd w:val="clear" w:color="auto" w:fill="CCEEFF"/>
          </w:tcPr>
          <w:p>
            <w:pPr>
              <w:spacing w:after="0"/>
              <w:rPr>
                <w:sz w:val="18"/>
                <w:szCs w:val="18"/>
                <w:color w:val="auto"/>
              </w:rPr>
            </w:pPr>
          </w:p>
        </w:tc>
        <w:tc>
          <w:tcPr>
            <w:tcW w:w="9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Unaudited Consolidated Statements of Comprehensive Earnings for the three months ended March 31, 2023 and 2022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6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rPr>
              <w:t>Unaudited Consolidated Statements of Stockholders' Equity for the three months ended March 31, 2023 and 2022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0" w:type="dxa"/>
            <w:vAlign w:val="bottom"/>
            <w:shd w:val="clear" w:color="auto" w:fill="CCEEFF"/>
          </w:tcPr>
          <w:p>
            <w:pPr>
              <w:spacing w:after="0"/>
              <w:rPr>
                <w:sz w:val="18"/>
                <w:szCs w:val="18"/>
                <w:color w:val="auto"/>
              </w:rPr>
            </w:pPr>
          </w:p>
        </w:tc>
        <w:tc>
          <w:tcPr>
            <w:tcW w:w="9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 Consolidated Statements of Cash Flows for the three months ended March 31, 2023 and 2022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rPr>
              <w:t>Notes to Consolidated Financial Statements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0" w:type="dxa"/>
            <w:vAlign w:val="bottom"/>
            <w:shd w:val="clear" w:color="auto" w:fill="CCEEFF"/>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2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60" w:type="dxa"/>
            <w:vAlign w:val="bottom"/>
            <w:shd w:val="clear" w:color="auto" w:fill="CCEEFF"/>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2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60" w:type="dxa"/>
            <w:vAlign w:val="bottom"/>
            <w:shd w:val="clear" w:color="auto" w:fill="CCEEFF"/>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2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Controls and Procedures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60" w:type="dxa"/>
            <w:vAlign w:val="bottom"/>
            <w:shd w:val="clear" w:color="auto" w:fill="CCEEFF"/>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280" w:type="dxa"/>
            <w:vAlign w:val="bottom"/>
          </w:tcPr>
          <w:p>
            <w:pPr>
              <w:ind w:left="160"/>
              <w:spacing w:after="0"/>
              <w:rPr>
                <w:sz w:val="20"/>
                <w:szCs w:val="20"/>
                <w:color w:val="auto"/>
              </w:rPr>
            </w:pPr>
            <w:r>
              <w:rPr>
                <w:rFonts w:ascii="Arial" w:cs="Arial" w:eastAsia="Arial" w:hAnsi="Arial"/>
                <w:sz w:val="18"/>
                <w:szCs w:val="18"/>
                <w:b w:val="1"/>
                <w:bCs w:val="1"/>
                <w:color w:val="auto"/>
              </w:rPr>
              <w:t>OTHER INFORMATION</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92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Legal Proceedings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60" w:type="dxa"/>
            <w:vAlign w:val="bottom"/>
            <w:shd w:val="clear" w:color="auto" w:fill="CCEEFF"/>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1A.</w:t>
            </w:r>
          </w:p>
        </w:tc>
        <w:tc>
          <w:tcPr>
            <w:tcW w:w="92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Risk Factors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60" w:type="dxa"/>
            <w:vAlign w:val="bottom"/>
            <w:shd w:val="clear" w:color="auto" w:fill="CCEEFF"/>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2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0" w:type="dxa"/>
            <w:vAlign w:val="bottom"/>
            <w:shd w:val="clear" w:color="auto" w:fill="CCEEFF"/>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2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0" w:type="dxa"/>
            <w:vAlign w:val="bottom"/>
            <w:shd w:val="clear" w:color="auto" w:fill="CCEEFF"/>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2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Mine Safety Disclosures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0" w:type="dxa"/>
            <w:vAlign w:val="bottom"/>
            <w:shd w:val="clear" w:color="auto" w:fill="CCEEFF"/>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92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Other Information</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0" w:type="dxa"/>
            <w:vAlign w:val="bottom"/>
            <w:shd w:val="clear" w:color="auto" w:fill="CCEEFF"/>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92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Exhibits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14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0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560"/>
        </w:trPr>
        <w:tc>
          <w:tcPr>
            <w:tcW w:w="8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receivable, net of allowance for credit losses of $497 and $496, respectively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21,215</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22,565</w:t>
            </w: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8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60,051</w:t>
            </w:r>
          </w:p>
        </w:tc>
        <w:tc>
          <w:tcPr>
            <w:tcW w:w="100" w:type="dxa"/>
            <w:vAlign w:val="bottom"/>
          </w:tcPr>
          <w:p>
            <w:pPr>
              <w:spacing w:after="0"/>
              <w:rPr>
                <w:sz w:val="18"/>
                <w:szCs w:val="18"/>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tcPr>
          <w:p>
            <w:pPr>
              <w:ind w:left="340"/>
              <w:spacing w:after="0"/>
              <w:rPr>
                <w:sz w:val="20"/>
                <w:szCs w:val="20"/>
                <w:color w:val="auto"/>
              </w:rPr>
            </w:pPr>
            <w:r>
              <w:rPr>
                <w:rFonts w:ascii="Arial" w:cs="Arial" w:eastAsia="Arial" w:hAnsi="Arial"/>
                <w:sz w:val="18"/>
                <w:szCs w:val="18"/>
                <w:color w:val="auto"/>
              </w:rPr>
              <w:t>Gross property and equipment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9,867</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(6,735)</w:t>
            </w:r>
          </w:p>
        </w:tc>
      </w:tr>
      <w:tr>
        <w:trPr>
          <w:trHeight w:val="209"/>
        </w:trPr>
        <w:tc>
          <w:tcPr>
            <w:tcW w:w="78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property and equipment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Borders>
              <w:top w:val="single" w:sz="8" w:color="CCEEFF"/>
            </w:tcBorders>
          </w:tcPr>
          <w:p>
            <w:pPr>
              <w:spacing w:after="0"/>
              <w:rPr>
                <w:sz w:val="18"/>
                <w:szCs w:val="18"/>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21,605</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18,559</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Restricted certificates of deposit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r>
      <w:tr>
        <w:trPr>
          <w:trHeight w:val="250"/>
        </w:trPr>
        <w:tc>
          <w:tcPr>
            <w:tcW w:w="7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113,516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7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Term Note</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Accrued wages and benefits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professional fees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Customer deposits and deferred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sales commissions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Domestic and foreign income taxes payable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8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26,869</w:t>
            </w:r>
          </w:p>
        </w:tc>
        <w:tc>
          <w:tcPr>
            <w:tcW w:w="100" w:type="dxa"/>
            <w:vAlign w:val="bottom"/>
          </w:tcPr>
          <w:p>
            <w:pPr>
              <w:spacing w:after="0"/>
              <w:rPr>
                <w:sz w:val="18"/>
                <w:szCs w:val="18"/>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Term Note, net of current portion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12,042</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r>
      <w:tr>
        <w:trPr>
          <w:trHeight w:val="210"/>
        </w:trPr>
        <w:tc>
          <w:tcPr>
            <w:tcW w:w="7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2"/>
        </w:trPr>
        <w:tc>
          <w:tcPr>
            <w:tcW w:w="7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Common stock, $0.01 par value; 20,000,000 shares authorized; 11,168,080 and 11,063,271 shares issued,</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0"/>
                <w:szCs w:val="20"/>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32,673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31,987</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32,854</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Accumulated other comprehensive earnings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36,329 and 34,308 shares, respectively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r>
      <w:tr>
        <w:trPr>
          <w:trHeight w:val="210"/>
        </w:trPr>
        <w:tc>
          <w:tcPr>
            <w:tcW w:w="78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68,498</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64,956</w:t>
            </w:r>
          </w:p>
        </w:tc>
        <w:tc>
          <w:tcPr>
            <w:tcW w:w="100" w:type="dxa"/>
            <w:vAlign w:val="bottom"/>
            <w:tcBorders>
              <w:top w:val="single" w:sz="8" w:color="CCEEFF"/>
            </w:tcBorders>
          </w:tcPr>
          <w:p>
            <w:pPr>
              <w:spacing w:after="0"/>
              <w:rPr>
                <w:sz w:val="18"/>
                <w:szCs w:val="18"/>
                <w:color w:val="auto"/>
              </w:rPr>
            </w:pPr>
          </w:p>
        </w:tc>
      </w:tr>
      <w:tr>
        <w:trPr>
          <w:trHeight w:val="249"/>
        </w:trPr>
        <w:tc>
          <w:tcPr>
            <w:tcW w:w="7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113,516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31,919</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13,068</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Selling expense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expense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100" w:type="dxa"/>
            <w:vAlign w:val="bottom"/>
          </w:tcPr>
          <w:p>
            <w:pPr>
              <w:spacing w:after="0"/>
              <w:rPr>
                <w:sz w:val="18"/>
                <w:szCs w:val="18"/>
                <w:color w:val="auto"/>
              </w:rPr>
            </w:pPr>
          </w:p>
        </w:tc>
      </w:tr>
      <w:tr>
        <w:trPr>
          <w:trHeight w:val="209"/>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0"/>
        </w:trPr>
        <w:tc>
          <w:tcPr>
            <w:tcW w:w="79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 expense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2,817</w:t>
            </w:r>
          </w:p>
        </w:tc>
        <w:tc>
          <w:tcPr>
            <w:tcW w:w="14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Earnings per common share – 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10,755,729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10,617,271</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Earnings per common share –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0.25</w:t>
            </w:r>
          </w:p>
        </w:tc>
        <w:tc>
          <w:tcPr>
            <w:tcW w:w="14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 outstanding – diluted</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11,088,664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10,842,592</w:t>
            </w:r>
          </w:p>
        </w:tc>
        <w:tc>
          <w:tcPr>
            <w:tcW w:w="100" w:type="dxa"/>
            <w:vAlign w:val="bottom"/>
          </w:tcPr>
          <w:p>
            <w:pPr>
              <w:spacing w:after="0"/>
              <w:rPr>
                <w:sz w:val="20"/>
                <w:szCs w:val="20"/>
                <w:color w:val="auto"/>
              </w:rPr>
            </w:pPr>
          </w:p>
        </w:tc>
      </w:tr>
      <w:tr>
        <w:trPr>
          <w:trHeight w:val="418"/>
        </w:trPr>
        <w:tc>
          <w:tcPr>
            <w:tcW w:w="7980" w:type="dxa"/>
            <w:vAlign w:val="bottom"/>
          </w:tcPr>
          <w:p>
            <w:pPr>
              <w:ind w:left="3320"/>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80" w:type="dxa"/>
            <w:vAlign w:val="bottom"/>
          </w:tcPr>
          <w:p>
            <w:pPr>
              <w:ind w:left="55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9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2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swap agreement</w:t>
            </w: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Comprehensive earnings</w:t>
            </w:r>
          </w:p>
        </w:tc>
        <w:tc>
          <w:tcPr>
            <w:tcW w:w="10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2,888</w:t>
            </w:r>
          </w:p>
        </w:tc>
        <w:tc>
          <w:tcPr>
            <w:tcW w:w="140" w:type="dxa"/>
            <w:vAlign w:val="bottom"/>
          </w:tcPr>
          <w:p>
            <w:pPr>
              <w:spacing w:after="0"/>
              <w:rPr>
                <w:sz w:val="18"/>
                <w:szCs w:val="18"/>
                <w:color w:val="auto"/>
              </w:rPr>
            </w:pPr>
          </w:p>
        </w:tc>
        <w:tc>
          <w:tcPr>
            <w:tcW w:w="112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ind w:left="336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40" w:type="dxa"/>
            <w:vAlign w:val="bottom"/>
          </w:tcPr>
          <w:p>
            <w:pPr>
              <w:ind w:left="55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8"/>
                <w:szCs w:val="18"/>
                <w:b w:val="1"/>
                <w:bCs w:val="1"/>
                <w:color w:val="auto"/>
                <w:w w:val="98"/>
              </w:rPr>
              <w:t>Three Months Ended March 31, 2023</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19"/>
                <w:szCs w:val="19"/>
                <w:color w:val="auto"/>
              </w:rPr>
            </w:pPr>
          </w:p>
        </w:tc>
        <w:tc>
          <w:tcPr>
            <w:tcW w:w="2200" w:type="dxa"/>
            <w:vAlign w:val="bottom"/>
            <w:gridSpan w:val="5"/>
            <w:vMerge w:val="restart"/>
          </w:tcPr>
          <w:p>
            <w:pPr>
              <w:ind w:left="400"/>
              <w:spacing w:after="0"/>
              <w:rPr>
                <w:sz w:val="20"/>
                <w:szCs w:val="20"/>
                <w:color w:val="auto"/>
              </w:rPr>
            </w:pPr>
            <w:r>
              <w:rPr>
                <w:rFonts w:ascii="Arial" w:cs="Arial" w:eastAsia="Arial" w:hAnsi="Arial"/>
                <w:sz w:val="18"/>
                <w:szCs w:val="18"/>
                <w:b w:val="1"/>
                <w:bCs w:val="1"/>
                <w:color w:val="auto"/>
              </w:rPr>
              <w:t>Common Stock</w:t>
            </w:r>
          </w:p>
        </w:tc>
        <w:tc>
          <w:tcPr>
            <w:tcW w:w="20" w:type="dxa"/>
            <w:vAlign w:val="bottom"/>
          </w:tcPr>
          <w:p>
            <w:pPr>
              <w:spacing w:after="0"/>
              <w:rPr>
                <w:sz w:val="19"/>
                <w:szCs w:val="19"/>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320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Treasury</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6"/>
              </w:rPr>
              <w:t>Stockholders'</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11,063,271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stock</w:t>
            </w:r>
          </w:p>
        </w:tc>
        <w:tc>
          <w:tcPr>
            <w:tcW w:w="920" w:type="dxa"/>
            <w:vAlign w:val="bottom"/>
          </w:tcPr>
          <w:p>
            <w:pPr>
              <w:jc w:val="right"/>
              <w:spacing w:after="0"/>
              <w:rPr>
                <w:sz w:val="20"/>
                <w:szCs w:val="20"/>
                <w:color w:val="auto"/>
              </w:rPr>
            </w:pPr>
            <w:r>
              <w:rPr>
                <w:rFonts w:ascii="Arial" w:cs="Arial" w:eastAsia="Arial" w:hAnsi="Arial"/>
                <w:sz w:val="18"/>
                <w:szCs w:val="18"/>
                <w:color w:val="auto"/>
              </w:rPr>
              <w:t>90,588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Forfeiture of unvested shares of restricted</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(13,271)</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920" w:type="dxa"/>
            <w:vAlign w:val="bottom"/>
          </w:tcPr>
          <w:p>
            <w:pPr>
              <w:jc w:val="right"/>
              <w:spacing w:after="0"/>
              <w:rPr>
                <w:sz w:val="20"/>
                <w:szCs w:val="20"/>
                <w:color w:val="auto"/>
              </w:rPr>
            </w:pPr>
            <w:r>
              <w:rPr>
                <w:rFonts w:ascii="Arial" w:cs="Arial" w:eastAsia="Arial" w:hAnsi="Arial"/>
                <w:sz w:val="18"/>
                <w:szCs w:val="18"/>
                <w:color w:val="auto"/>
              </w:rPr>
              <w:t>25,200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w w:val="98"/>
              </w:rPr>
              <w:t>Shares surrendered to satisfy tax liability</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at vesting of stock-based awards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Balance, March 31, 2023</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11,168,080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32,673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35,671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8"/>
                <w:szCs w:val="18"/>
                <w:b w:val="1"/>
                <w:bCs w:val="1"/>
                <w:color w:val="auto"/>
                <w:w w:val="98"/>
              </w:rPr>
              <w:t>Three Months Ended March 31, 2022</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19"/>
                <w:szCs w:val="19"/>
                <w:color w:val="auto"/>
              </w:rPr>
            </w:pPr>
          </w:p>
        </w:tc>
        <w:tc>
          <w:tcPr>
            <w:tcW w:w="2200" w:type="dxa"/>
            <w:vAlign w:val="bottom"/>
            <w:gridSpan w:val="5"/>
            <w:vMerge w:val="restart"/>
          </w:tcPr>
          <w:p>
            <w:pPr>
              <w:ind w:left="400"/>
              <w:spacing w:after="0"/>
              <w:rPr>
                <w:sz w:val="20"/>
                <w:szCs w:val="20"/>
                <w:color w:val="auto"/>
              </w:rPr>
            </w:pPr>
            <w:r>
              <w:rPr>
                <w:rFonts w:ascii="Arial" w:cs="Arial" w:eastAsia="Arial" w:hAnsi="Arial"/>
                <w:sz w:val="18"/>
                <w:szCs w:val="18"/>
                <w:b w:val="1"/>
                <w:bCs w:val="1"/>
                <w:color w:val="auto"/>
              </w:rPr>
              <w:t>Common Stock</w:t>
            </w:r>
          </w:p>
        </w:tc>
        <w:tc>
          <w:tcPr>
            <w:tcW w:w="20" w:type="dxa"/>
            <w:vAlign w:val="bottom"/>
          </w:tcPr>
          <w:p>
            <w:pPr>
              <w:spacing w:after="0"/>
              <w:rPr>
                <w:sz w:val="19"/>
                <w:szCs w:val="19"/>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320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Treasury</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6"/>
              </w:rPr>
              <w:t>Stockholders'</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10,910,460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54,823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stock</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79,489</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10,995,194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3200" w:type="dxa"/>
            <w:vAlign w:val="bottom"/>
          </w:tcPr>
          <w:p>
            <w:pPr>
              <w:spacing w:after="0"/>
              <w:rPr>
                <w:sz w:val="24"/>
                <w:szCs w:val="24"/>
                <w:color w:val="auto"/>
              </w:rPr>
            </w:pPr>
          </w:p>
        </w:tc>
        <w:tc>
          <w:tcPr>
            <w:tcW w:w="5780" w:type="dxa"/>
            <w:vAlign w:val="bottom"/>
            <w:gridSpan w:val="15"/>
          </w:tcPr>
          <w:p>
            <w:pPr>
              <w:jc w:val="right"/>
              <w:ind w:right="1080"/>
              <w:spacing w:after="0"/>
              <w:rPr>
                <w:sz w:val="20"/>
                <w:szCs w:val="20"/>
                <w:color w:val="auto"/>
              </w:rPr>
            </w:pPr>
            <w:r>
              <w:rPr>
                <w:rFonts w:ascii="Arial" w:cs="Arial" w:eastAsia="Arial" w:hAnsi="Arial"/>
                <w:sz w:val="18"/>
                <w:szCs w:val="18"/>
                <w:color w:val="auto"/>
                <w:w w:val="92"/>
              </w:rPr>
              <w:t>See accompanying Notes to Consolidated 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490"/>
              <w:spacing w:after="0"/>
              <w:rPr>
                <w:sz w:val="20"/>
                <w:szCs w:val="20"/>
                <w:color w:val="auto"/>
              </w:rPr>
            </w:pPr>
            <w:r>
              <w:rPr>
                <w:rFonts w:ascii="Arial" w:cs="Arial" w:eastAsia="Arial" w:hAnsi="Arial"/>
                <w:sz w:val="18"/>
                <w:szCs w:val="18"/>
                <w:color w:val="auto"/>
                <w:w w:val="90"/>
              </w:rPr>
              <w:t>-4-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2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5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2,817</w:t>
            </w:r>
          </w:p>
        </w:tc>
        <w:tc>
          <w:tcPr>
            <w:tcW w:w="140" w:type="dxa"/>
            <w:vAlign w:val="bottom"/>
          </w:tcPr>
          <w:p>
            <w:pPr>
              <w:spacing w:after="0"/>
              <w:rPr>
                <w:sz w:val="18"/>
                <w:szCs w:val="18"/>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Adjustments to reconcile net earnings to net cash provided by (used in) operating activities: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Provision for excess and obsolete inventory</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500"/>
              <w:spacing w:after="0"/>
              <w:rPr>
                <w:sz w:val="20"/>
                <w:szCs w:val="20"/>
                <w:color w:val="auto"/>
              </w:rPr>
            </w:pPr>
            <w:r>
              <w:rPr>
                <w:rFonts w:ascii="Arial" w:cs="Arial" w:eastAsia="Arial" w:hAnsi="Arial"/>
                <w:sz w:val="18"/>
                <w:szCs w:val="18"/>
                <w:color w:val="auto"/>
              </w:rPr>
              <w:t>Foreign exchange (gain) loss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500"/>
              <w:spacing w:after="0"/>
              <w:rPr>
                <w:sz w:val="20"/>
                <w:szCs w:val="20"/>
                <w:color w:val="auto"/>
              </w:rPr>
            </w:pPr>
            <w:r>
              <w:rPr>
                <w:rFonts w:ascii="Arial" w:cs="Arial" w:eastAsia="Arial" w:hAnsi="Arial"/>
                <w:sz w:val="18"/>
                <w:szCs w:val="18"/>
                <w:color w:val="auto"/>
              </w:rPr>
              <w:t>Discount on shares sold under Employee Stock Purchase Plan</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sale of demonstration equipment, net of gain</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500"/>
              <w:spacing w:after="0"/>
              <w:rPr>
                <w:sz w:val="20"/>
                <w:szCs w:val="20"/>
                <w:color w:val="auto"/>
              </w:rPr>
            </w:pPr>
            <w:r>
              <w:rPr>
                <w:rFonts w:ascii="Arial" w:cs="Arial" w:eastAsia="Arial" w:hAnsi="Arial"/>
                <w:sz w:val="18"/>
                <w:szCs w:val="18"/>
                <w:color w:val="auto"/>
              </w:rPr>
              <w:t>Deferred income tax benefit</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r>
      <w:tr>
        <w:trPr>
          <w:trHeight w:val="216"/>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assets and liabilities: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660"/>
              <w:spacing w:after="0"/>
              <w:rPr>
                <w:sz w:val="20"/>
                <w:szCs w:val="20"/>
                <w:color w:val="auto"/>
              </w:rPr>
            </w:pPr>
            <w:r>
              <w:rPr>
                <w:rFonts w:ascii="Arial" w:cs="Arial" w:eastAsia="Arial" w:hAnsi="Arial"/>
                <w:sz w:val="18"/>
                <w:szCs w:val="18"/>
                <w:color w:val="auto"/>
              </w:rPr>
              <w:t>Trade accounts receivable</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(832)</w:t>
            </w:r>
          </w:p>
        </w:tc>
      </w:tr>
      <w:tr>
        <w:trPr>
          <w:trHeight w:val="216"/>
        </w:trPr>
        <w:tc>
          <w:tcPr>
            <w:tcW w:w="7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(2,038)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(2,177)</w:t>
            </w:r>
          </w:p>
        </w:tc>
      </w:tr>
      <w:tr>
        <w:trPr>
          <w:trHeight w:val="216"/>
        </w:trPr>
        <w:tc>
          <w:tcPr>
            <w:tcW w:w="7380" w:type="dxa"/>
            <w:vAlign w:val="bottom"/>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r>
      <w:tr>
        <w:trPr>
          <w:trHeight w:val="216"/>
        </w:trPr>
        <w:tc>
          <w:tcPr>
            <w:tcW w:w="7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assets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7380" w:type="dxa"/>
            <w:vAlign w:val="bottom"/>
          </w:tcPr>
          <w:p>
            <w:pPr>
              <w:ind w:left="660"/>
              <w:spacing w:after="0"/>
              <w:rPr>
                <w:sz w:val="20"/>
                <w:szCs w:val="20"/>
                <w:color w:val="auto"/>
              </w:rPr>
            </w:pPr>
            <w:r>
              <w:rPr>
                <w:rFonts w:ascii="Arial" w:cs="Arial" w:eastAsia="Arial" w:hAnsi="Arial"/>
                <w:sz w:val="18"/>
                <w:szCs w:val="18"/>
                <w:color w:val="auto"/>
              </w:rPr>
              <w:t>Operating lease liabilities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r>
      <w:tr>
        <w:trPr>
          <w:trHeight w:val="216"/>
        </w:trPr>
        <w:tc>
          <w:tcPr>
            <w:tcW w:w="7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660"/>
              <w:spacing w:after="0"/>
              <w:rPr>
                <w:sz w:val="20"/>
                <w:szCs w:val="20"/>
                <w:color w:val="auto"/>
              </w:rPr>
            </w:pPr>
            <w:r>
              <w:rPr>
                <w:rFonts w:ascii="Arial" w:cs="Arial" w:eastAsia="Arial" w:hAnsi="Arial"/>
                <w:sz w:val="18"/>
                <w:szCs w:val="18"/>
                <w:color w:val="auto"/>
              </w:rPr>
              <w:t>Accrued wages and benefits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(1,179)</w:t>
            </w:r>
          </w:p>
        </w:tc>
      </w:tr>
      <w:tr>
        <w:trPr>
          <w:trHeight w:val="216"/>
        </w:trPr>
        <w:tc>
          <w:tcPr>
            <w:tcW w:w="7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professional fees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r>
      <w:tr>
        <w:trPr>
          <w:trHeight w:val="216"/>
        </w:trPr>
        <w:tc>
          <w:tcPr>
            <w:tcW w:w="7380" w:type="dxa"/>
            <w:vAlign w:val="bottom"/>
          </w:tcPr>
          <w:p>
            <w:pPr>
              <w:ind w:left="660"/>
              <w:spacing w:after="0"/>
              <w:rPr>
                <w:sz w:val="20"/>
                <w:szCs w:val="20"/>
                <w:color w:val="auto"/>
              </w:rPr>
            </w:pPr>
            <w:r>
              <w:rPr>
                <w:rFonts w:ascii="Arial" w:cs="Arial" w:eastAsia="Arial" w:hAnsi="Arial"/>
                <w:sz w:val="18"/>
                <w:szCs w:val="18"/>
                <w:color w:val="auto"/>
              </w:rPr>
              <w:t>Customer deposits and deferred revenue</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(608)</w:t>
            </w:r>
          </w:p>
        </w:tc>
      </w:tr>
      <w:tr>
        <w:trPr>
          <w:trHeight w:val="216"/>
        </w:trPr>
        <w:tc>
          <w:tcPr>
            <w:tcW w:w="7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sales commissions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7380" w:type="dxa"/>
            <w:vAlign w:val="bottom"/>
          </w:tcPr>
          <w:p>
            <w:pPr>
              <w:ind w:left="660"/>
              <w:spacing w:after="0"/>
              <w:rPr>
                <w:sz w:val="20"/>
                <w:szCs w:val="20"/>
                <w:color w:val="auto"/>
              </w:rPr>
            </w:pPr>
            <w:r>
              <w:rPr>
                <w:rFonts w:ascii="Arial" w:cs="Arial" w:eastAsia="Arial" w:hAnsi="Arial"/>
                <w:sz w:val="18"/>
                <w:szCs w:val="18"/>
                <w:color w:val="auto"/>
              </w:rPr>
              <w:t>Domestic and foreign income taxes payable</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r>
      <w:tr>
        <w:trPr>
          <w:trHeight w:val="216"/>
        </w:trPr>
        <w:tc>
          <w:tcPr>
            <w:tcW w:w="7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liabilities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660"/>
              <w:spacing w:after="0"/>
              <w:rPr>
                <w:sz w:val="20"/>
                <w:szCs w:val="20"/>
                <w:color w:val="auto"/>
              </w:rPr>
            </w:pPr>
            <w:r>
              <w:rPr>
                <w:rFonts w:ascii="Arial" w:cs="Arial" w:eastAsia="Arial" w:hAnsi="Arial"/>
                <w:sz w:val="18"/>
                <w:szCs w:val="18"/>
                <w:color w:val="auto"/>
              </w:rPr>
              <w:t>Other liabilities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0"/>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6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r>
      <w:tr>
        <w:trPr>
          <w:trHeight w:val="210"/>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Repayments of Term Note</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(1,025)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(883)</w:t>
            </w: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shares sold under Employee Stock Purchase Plan</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Proceeds from stock options exercised</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treasury stock – shares surrendered by employees to satisfy tax liability</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73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(835)</w:t>
            </w:r>
          </w:p>
        </w:tc>
      </w:tr>
      <w:tr>
        <w:trPr>
          <w:trHeight w:val="210"/>
        </w:trPr>
        <w:tc>
          <w:tcPr>
            <w:tcW w:w="7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Effects of exchange rates on cash</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09"/>
        </w:trPr>
        <w:tc>
          <w:tcPr>
            <w:tcW w:w="7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Net cash provided by (used in) all activities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(3,984)</w:t>
            </w:r>
          </w:p>
        </w:tc>
      </w:tr>
      <w:tr>
        <w:trPr>
          <w:trHeight w:val="216"/>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6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14,576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21,195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3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5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15,944</w:t>
            </w:r>
          </w:p>
        </w:tc>
        <w:tc>
          <w:tcPr>
            <w:tcW w:w="140" w:type="dxa"/>
            <w:vAlign w:val="bottom"/>
          </w:tcPr>
          <w:p>
            <w:pPr>
              <w:spacing w:after="0"/>
              <w:rPr>
                <w:sz w:val="18"/>
                <w:szCs w:val="18"/>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17,211</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Cash payments for:</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 and foreign income taxes</w:t>
            </w:r>
          </w:p>
        </w:tc>
        <w:tc>
          <w:tcPr>
            <w:tcW w:w="15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ind w:right="-5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(In thousands, except share and per share data)</w:t>
      </w:r>
    </w:p>
    <w:p>
      <w:pPr>
        <w:spacing w:after="0" w:line="234" w:lineRule="exact"/>
        <w:rPr>
          <w:sz w:val="20"/>
          <w:szCs w:val="20"/>
          <w:color w:val="auto"/>
        </w:rPr>
      </w:pPr>
    </w:p>
    <w:p>
      <w:pPr>
        <w:ind w:left="652" w:hanging="652"/>
        <w:spacing w:after="0"/>
        <w:tabs>
          <w:tab w:leader="none" w:pos="6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jc w:val="both"/>
        <w:ind w:left="652" w:right="1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We are a global supplier of innovative test and process technology solutions for use in manufacturing and testing across a wide range of markets including automotive, defense/aerospace, industrial, life sciences, security and semiconductor. We have three operating segments which are also our reportable segments and reporting units: Electronic Test, Environmental Technologies and Process Technologies.</w:t>
      </w:r>
    </w:p>
    <w:p>
      <w:pPr>
        <w:spacing w:after="0" w:line="148" w:lineRule="exact"/>
        <w:rPr>
          <w:rFonts w:ascii="Arial" w:cs="Arial" w:eastAsia="Arial" w:hAnsi="Arial"/>
          <w:sz w:val="18"/>
          <w:szCs w:val="18"/>
          <w:b w:val="1"/>
          <w:bCs w:val="1"/>
          <w:color w:val="auto"/>
        </w:rPr>
      </w:pPr>
    </w:p>
    <w:p>
      <w:pPr>
        <w:ind w:left="652" w:right="5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consolidated entity is comprised of inTEST Corporation and our wholly-owned subsidiaries. We manufacture our products in the U.S., Canada and the Netherlands. Marketing and support activities are conducted worldwide from our facilities in the U.S., Canada, Germany, Singapore, the Netherlands and the U.K. We operate our business worldwide and sell our products both domestically and internationally.</w:t>
      </w:r>
    </w:p>
    <w:p>
      <w:pPr>
        <w:spacing w:after="0" w:line="148" w:lineRule="exact"/>
        <w:rPr>
          <w:rFonts w:ascii="Arial" w:cs="Arial" w:eastAsia="Arial" w:hAnsi="Arial"/>
          <w:sz w:val="18"/>
          <w:szCs w:val="18"/>
          <w:b w:val="1"/>
          <w:bCs w:val="1"/>
          <w:color w:val="auto"/>
        </w:rPr>
      </w:pPr>
    </w:p>
    <w:p>
      <w:pPr>
        <w:ind w:left="652" w:right="1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spacing w:after="0" w:line="161" w:lineRule="exact"/>
        <w:rPr>
          <w:rFonts w:ascii="Arial" w:cs="Arial" w:eastAsia="Arial" w:hAnsi="Arial"/>
          <w:sz w:val="18"/>
          <w:szCs w:val="18"/>
          <w:b w:val="1"/>
          <w:bCs w:val="1"/>
          <w:color w:val="auto"/>
        </w:rPr>
      </w:pPr>
    </w:p>
    <w:p>
      <w:pPr>
        <w:ind w:left="65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semiconductor market (“semi” or the “semi market”) which includes both the broader semiconductor market, as well as the more specialized automated test equipment (“ATE”) and wafer production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66" w:lineRule="exact"/>
        <w:rPr>
          <w:rFonts w:ascii="Arial" w:cs="Arial" w:eastAsia="Arial" w:hAnsi="Arial"/>
          <w:sz w:val="18"/>
          <w:szCs w:val="18"/>
          <w:b w:val="1"/>
          <w:bCs w:val="1"/>
          <w:color w:val="auto"/>
        </w:rPr>
      </w:pPr>
    </w:p>
    <w:p>
      <w:pPr>
        <w:ind w:left="652"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Our Electronic Test segment sells its products to semiconductor manufacturers and third-party test and assembly houses (end user sales) and to ATE manufacturers (original equipment manufacturer (“OEM”) sales), who ultimately resell our equipment with theirs to both semiconductor manufacturers and third-party test and assembly houses. These sales all fall within the ATE sector of the semi market. With the acquisition of Acculogic in December 2021, our Electronic Test segment also sells its products to customers in markets outside the semi market including the automotive, defense/aerospace, industrial and life sciences markets. Our Environmental Technologies segment sells its products to end users and OEMs within the ATE sector of the semi market. It also sells its products to customers in a variety of other markets other than the semi market, including the automotive, defense/aerospace, industrial and life sciences markets. Our Process Technologies segment sells its products to customers in the wafer production sector within the semi market. It also sells its products to customers in a variety of other markets other than the semi market, including the automotive, defense/aerospace, industrial, life sciences and security markets.</w:t>
      </w:r>
    </w:p>
    <w:p>
      <w:pPr>
        <w:spacing w:after="0" w:line="166" w:lineRule="exact"/>
        <w:rPr>
          <w:rFonts w:ascii="Arial" w:cs="Arial" w:eastAsia="Arial" w:hAnsi="Arial"/>
          <w:sz w:val="18"/>
          <w:szCs w:val="18"/>
          <w:b w:val="1"/>
          <w:bCs w:val="1"/>
          <w:color w:val="auto"/>
        </w:rPr>
      </w:pPr>
    </w:p>
    <w:p>
      <w:pPr>
        <w:ind w:left="652" w:right="10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66" w:lineRule="exact"/>
        <w:rPr>
          <w:rFonts w:ascii="Arial" w:cs="Arial" w:eastAsia="Arial" w:hAnsi="Arial"/>
          <w:sz w:val="18"/>
          <w:szCs w:val="18"/>
          <w:b w:val="1"/>
          <w:bCs w:val="1"/>
          <w:color w:val="auto"/>
        </w:rPr>
      </w:pPr>
    </w:p>
    <w:p>
      <w:pPr>
        <w:ind w:left="5592" w:hanging="104"/>
        <w:spacing w:after="0"/>
        <w:tabs>
          <w:tab w:leader="none" w:pos="5592" w:val="left"/>
        </w:tabs>
        <w:numPr>
          <w:ilvl w:val="1"/>
          <w:numId w:val="3"/>
        </w:numPr>
        <w:rPr>
          <w:rFonts w:ascii="Arial" w:cs="Arial" w:eastAsia="Arial" w:hAnsi="Arial"/>
          <w:sz w:val="18"/>
          <w:szCs w:val="18"/>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580" w:right="399" w:bottom="1440" w:gutter="0" w:footer="0" w:header="0"/>
        </w:sectPr>
      </w:pPr>
    </w:p>
    <w:bookmarkStart w:id="8" w:name="page9"/>
    <w:bookmarkEnd w:id="8"/>
    <w:p>
      <w:pPr>
        <w:ind w:left="660" w:right="5920" w:hanging="652"/>
        <w:spacing w:after="0" w:line="503"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Certain of our accounts, including contingent consideration, inventories, long-lived assets, goodwill, identifiable intangibles and deferred tax assets and liabilities, including related valuation allowances, are particularly impacted by estimates.</w:t>
      </w:r>
    </w:p>
    <w:p>
      <w:pPr>
        <w:spacing w:after="0" w:line="177" w:lineRule="exact"/>
        <w:rPr>
          <w:rFonts w:ascii="Arial" w:cs="Arial" w:eastAsia="Arial" w:hAnsi="Arial"/>
          <w:sz w:val="18"/>
          <w:szCs w:val="18"/>
          <w:b w:val="1"/>
          <w:bCs w:val="1"/>
          <w:color w:val="auto"/>
        </w:rPr>
      </w:pPr>
    </w:p>
    <w:p>
      <w:pPr>
        <w:ind w:left="660" w:right="2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2022 (the “2022 Form 10-K”) filed on March 22, 2023 with the Securities and Exchange Commission.</w:t>
      </w:r>
    </w:p>
    <w:p>
      <w:pPr>
        <w:spacing w:after="0" w:line="16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rFonts w:ascii="Arial" w:cs="Arial" w:eastAsia="Arial" w:hAnsi="Arial"/>
          <w:sz w:val="18"/>
          <w:szCs w:val="18"/>
          <w:b w:val="1"/>
          <w:bCs w:val="1"/>
          <w:color w:val="auto"/>
        </w:rPr>
      </w:pPr>
    </w:p>
    <w:p>
      <w:pPr>
        <w:ind w:left="660" w:right="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three months ended March 31, 2023.</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rFonts w:ascii="Arial" w:cs="Arial" w:eastAsia="Arial" w:hAnsi="Arial"/>
          <w:sz w:val="18"/>
          <w:szCs w:val="18"/>
          <w:b w:val="1"/>
          <w:bCs w:val="1"/>
          <w:color w:val="auto"/>
        </w:rPr>
      </w:pPr>
    </w:p>
    <w:p>
      <w:pPr>
        <w:ind w:left="660"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6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Cash, Cash Equivalents and Restricted Cash</w:t>
      </w:r>
    </w:p>
    <w:p>
      <w:pPr>
        <w:spacing w:after="0" w:line="225" w:lineRule="exact"/>
        <w:rPr>
          <w:rFonts w:ascii="Arial" w:cs="Arial" w:eastAsia="Arial" w:hAnsi="Arial"/>
          <w:sz w:val="18"/>
          <w:szCs w:val="18"/>
          <w:b w:val="1"/>
          <w:bCs w:val="1"/>
          <w:color w:val="auto"/>
        </w:rPr>
      </w:pPr>
    </w:p>
    <w:p>
      <w:pPr>
        <w:ind w:left="660" w:right="1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spacing w:after="0" w:line="148" w:lineRule="exact"/>
        <w:rPr>
          <w:rFonts w:ascii="Arial" w:cs="Arial" w:eastAsia="Arial" w:hAnsi="Arial"/>
          <w:sz w:val="18"/>
          <w:szCs w:val="18"/>
          <w:b w:val="1"/>
          <w:bCs w:val="1"/>
          <w:color w:val="auto"/>
        </w:rPr>
      </w:pPr>
    </w:p>
    <w:p>
      <w:pPr>
        <w:ind w:left="660" w:right="20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Restricted cash represents amounts deposited at our bank in the Netherlands to support a bank guarantee which one of the customers of our induction heating products required as a condition of paying a deposit on a large order they placed with us in 2022. At March 31, 2023 and December 31, 2022, the amount of the deposit, and, accordingly, the guarantee, was EUR 476, or $516, and EUR 1,067, or $1,142, respectively. The related order is Euro denominated. The amount of the deposit and related guarantee declines as shipments are made against the order.</w:t>
      </w:r>
    </w:p>
    <w:p>
      <w:pPr>
        <w:spacing w:after="0" w:line="157" w:lineRule="exact"/>
        <w:rPr>
          <w:rFonts w:ascii="Arial" w:cs="Arial" w:eastAsia="Arial" w:hAnsi="Arial"/>
          <w:sz w:val="18"/>
          <w:szCs w:val="18"/>
          <w:b w:val="1"/>
          <w:bCs w:val="1"/>
          <w:color w:val="auto"/>
        </w:rPr>
      </w:pPr>
    </w:p>
    <w:p>
      <w:pPr>
        <w:ind w:left="6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provides a reconciliation of cash, cash equivalents, and restricted cash reported within the consolidated balance sheets and the 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Restricted cash</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1,142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8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15,944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14,576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60" w:type="dxa"/>
            <w:vAlign w:val="bottom"/>
            <w:vMerge w:val="restart"/>
          </w:tcPr>
          <w:p>
            <w:pPr>
              <w:jc w:val="right"/>
              <w:ind w:right="1590"/>
              <w:spacing w:after="0"/>
              <w:rPr>
                <w:sz w:val="20"/>
                <w:szCs w:val="20"/>
                <w:color w:val="auto"/>
              </w:rPr>
            </w:pPr>
            <w:r>
              <w:rPr>
                <w:rFonts w:ascii="Arial" w:cs="Arial" w:eastAsia="Arial" w:hAnsi="Arial"/>
                <w:sz w:val="18"/>
                <w:szCs w:val="18"/>
                <w:color w:val="auto"/>
              </w:rPr>
              <w:t>- 7-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u w:val="single" w:color="auto"/>
          <w:color w:val="auto"/>
        </w:rPr>
        <w:t>Trade Accounts Receivable and Allowance for Credit Losses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Trade accounts receivable are recorded at the invoiced amount and do not bear interest. We grant credit to customers and generally require no collateral. To minimize our risk, we perform ongoing credit evaluations of our customers' financial condition. As discussed below under “Effect of Recently Adopted Amendments to Authoritative Accounting Guidance”, effective January 1, 2023, we follow the guidance in Accounting Standards Codification (“ASC”) Topic 326 (Financial Instruments – Credit Losses) in developing our estimate of the allowance for credit losses related to our accounts receivable. The allowance for credit losses is our best estimate of the amount of expected credit losses in our existing accounts receivable. In establishing the amount of allowance for credit losses, we consider all information available as of the reporting date including information related to past events, such as historical loss rates and actual incurred losses, as well as current conditions that may indicate future risk of loss and any other factors of which we are aware, that we believe could impact the ultimate collectability of the related receivables in future periods.</w:t>
      </w:r>
    </w:p>
    <w:p>
      <w:pPr>
        <w:spacing w:after="0" w:line="196"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Account balances are charged off against the allowance after all means of collection have been exhausted and the potential for recovery is considered remote. We do not have any significant off-balance sheet credit exposure related to our customers. There was no bad debt expense recorded for the three months ended March 31, 2023 or 2022. Cash flows from accounts receivable are recorded in operating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financial instruments include cash and cash equivalents,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 maturities of the accounts. Our credit facility and our interest rate swap are discussed further below and in Note 9. Our liabilities for contingent consideration are accounted for in accordance with the guidance in ASC Topic 820 (Fair Value Measurement). ASC Topic 820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Note 3 for further disclosures related to the fair value of our liabilities for contingent consideration.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have three reportable segments which are also our reporting units: Electronic Test, Environmental Technologies and Process Technologies.</w:t>
      </w:r>
    </w:p>
    <w:p>
      <w:pPr>
        <w:spacing w:after="0" w:line="2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account for goodwill and intangible assets in accordance with ASC Topic 350 (Intangibles - Goodwill and Other).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11" w:right="339" w:bottom="1440" w:gutter="0" w:footer="0" w:header="0"/>
        </w:sectPr>
      </w:pPr>
    </w:p>
    <w:bookmarkStart w:id="10" w:name="page11"/>
    <w:bookmarkEnd w:id="10"/>
    <w:p>
      <w:pPr>
        <w:ind w:right="40"/>
        <w:spacing w:after="0" w:line="272" w:lineRule="auto"/>
        <w:rPr>
          <w:sz w:val="20"/>
          <w:szCs w:val="20"/>
          <w:color w:val="auto"/>
        </w:rPr>
      </w:pPr>
      <w:r>
        <w:rPr>
          <w:rFonts w:ascii="Arial" w:cs="Arial" w:eastAsia="Arial" w:hAnsi="Arial"/>
          <w:sz w:val="17"/>
          <w:szCs w:val="17"/>
          <w:color w:val="auto"/>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7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Long-lived assets, which consist of finite-lived intangible assets, property and equipment and right-of-use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We are a global supplier of innovative test and process technology solutions for use in manufacturing and testing in targeted markets including automotive, defense/aerospace, industrial, life sciences, security and semiconductor. We sell thermal management products including ThermoStreams, ThermoChambers, process chillers, refrigerators and freezers, which we sell under our Temptronic, Sigma, Thermonics and North Sciences product lines, and Ambrell Corporation’s (“Ambrell”) precision induction heating systems, including EKOHEAT® and EASYHEAT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products. As a result of the acquisition of Videology, we sell industrial-grade circuit board mounted video digital cameras and related devices, systems and software. We sell semiconductor ATE interface solutions which include manipulators, docking hardware and electrical interface products. As a result of the acquisition of Acculogic, we sell robotics-based electronic production test equipment. We provide post-warranty service and support for the equipment we sell. We sell semiconductor ATE interface solutions and certain thermal management products to the semi market. We also sell many of our products to various other markets including the automotive, defense/aerospace, industrial, life sciences and security markets.</w:t>
      </w:r>
    </w:p>
    <w:p>
      <w:pPr>
        <w:spacing w:after="0" w:line="19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Contracts with Customers</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6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1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record accounts receivable at the time of invoicing. Accounts receivable, net of the allowance for credit losses,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discussed above, we follow the guidance in ASC Topic 326 in developing our estimate of the allowance for credit losses related to our accounts receivable. The allowance for credit losses is our best estimate of the amount of expected credit losses in our existing accounts receivable. We monitor the collectability of accounts receivable on an ongoing basis and record charges for bad debt expense in the period when we determine that a loss is expected to occur based on our assessment.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Notes 5 and 13 for further information about our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$135 and $123 for the three months ended March 31, 2023 and 2022,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account for leases in accordance with ASC Topic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Topic 842. Operating leases are included in operating lease ROU assets and operating lease liabilities in our consolidated balance sheets. Finance leases are included in property and equipment and financing lease liabilities. We do not currently have any financing leases.</w:t>
      </w:r>
    </w:p>
    <w:p>
      <w:pPr>
        <w:spacing w:after="0" w:line="18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11" w:right="339" w:bottom="1440" w:gutter="0" w:footer="0" w:header="0"/>
        </w:sectPr>
      </w:pPr>
    </w:p>
    <w:bookmarkStart w:id="12" w:name="page13"/>
    <w:bookmarkEnd w:id="12"/>
    <w:p>
      <w:pPr>
        <w:ind w:right="40"/>
        <w:spacing w:after="0" w:line="269"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8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further disclosures regarding our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are exposed to interest rate risk on our floating-rate debt. We have entered into an interest rate swap agreement to effectively convert our floating-rate debt to a fixed-rate basis for a portion of our floating rate debt, as discussed further in Notes 3 and 9. The principal objective of this agreement is to eliminate the variability of the cash flows for interest payments associated with our floating-rate debt, thus reducing the impact of interest rate changes on future interest payment cash flows. We have elected to apply the hedge accounting rules in accordance with ASC Topic 815 (Derivatives and Hedging). Further, we have determined that this agreement qualifies for the shortcut method of hedge accounting. Changes in the fair value of interest rate swap agreements designated as cash flow hedges are recorded as a component of accumulated other comprehensive income (loss) within stockholders’ equity and are amortized to interest expense over the term of the related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Funds Received</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leasing a facility in Rochester, New York, which our subsidiary, Ambrell, occupied in May 2018, we entered into agreements with the city of Rochester and the state of New York under which we received grants totaling $550 to help offset a portion of the cost of the leasehold improvements we made to this facility. The final payment of $87 was received during the three months ended March 31, 2022. In exchange for the funds we received under these agreements, we are required to create and maintain specified levels of employment in this location through various dates ending in 2024. If we fail to meet these employment targets, we may be required to repay a proportionate share of the proceeds. At March 31, 2023, $193 of the total proceeds received could still be required to be repaid if we do not meet the targets. We have recorded this amount as a contingent liability which is included in other liabilities on our consolidated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$286 at March 31, 2023. At March 31, 2023, we were in compliance with the employment targets as specified in the grant agreement with the city of Rochester.</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10.</w:t>
      </w:r>
    </w:p>
    <w:p>
      <w:pPr>
        <w:spacing w:after="0" w:line="18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11" w:right="339" w:bottom="1440" w:gutter="0" w:footer="0" w:header="0"/>
        </w:sectPr>
      </w:pPr>
    </w:p>
    <w:bookmarkStart w:id="13" w:name="page14"/>
    <w:bookmarkEnd w:id="13"/>
    <w:p>
      <w:pPr>
        <w:ind w:left="652"/>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652" w:right="60"/>
        <w:spacing w:after="0" w:line="254"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95" w:lineRule="exact"/>
        <w:rPr>
          <w:sz w:val="20"/>
          <w:szCs w:val="20"/>
          <w:color w:val="auto"/>
        </w:rPr>
      </w:pPr>
    </w:p>
    <w:p>
      <w:pPr>
        <w:ind w:left="652"/>
        <w:spacing w:after="0"/>
        <w:rPr>
          <w:sz w:val="20"/>
          <w:szCs w:val="20"/>
          <w:color w:val="auto"/>
        </w:rPr>
      </w:pPr>
      <w:r>
        <w:rPr>
          <w:rFonts w:ascii="Arial" w:cs="Arial" w:eastAsia="Arial" w:hAnsi="Arial"/>
          <w:sz w:val="18"/>
          <w:szCs w:val="18"/>
          <w:b w:val="1"/>
          <w:bCs w:val="1"/>
          <w:i w:val="1"/>
          <w:iCs w:val="1"/>
          <w:u w:val="single" w:color="auto"/>
          <w:color w:val="auto"/>
        </w:rPr>
        <w:t>Earnings (Loss) Per Common Share</w:t>
      </w:r>
    </w:p>
    <w:p>
      <w:pPr>
        <w:spacing w:after="0" w:line="225" w:lineRule="exact"/>
        <w:rPr>
          <w:sz w:val="20"/>
          <w:szCs w:val="20"/>
          <w:color w:val="auto"/>
        </w:rPr>
      </w:pPr>
    </w:p>
    <w:p>
      <w:pPr>
        <w:ind w:left="652" w:right="200"/>
        <w:spacing w:after="0" w:line="257" w:lineRule="auto"/>
        <w:rPr>
          <w:sz w:val="20"/>
          <w:szCs w:val="20"/>
          <w:color w:val="auto"/>
        </w:rPr>
      </w:pPr>
      <w:r>
        <w:rPr>
          <w:rFonts w:ascii="Arial" w:cs="Arial" w:eastAsia="Arial" w:hAnsi="Arial"/>
          <w:sz w:val="18"/>
          <w:szCs w:val="18"/>
          <w:color w:val="auto"/>
        </w:rPr>
        <w:t>Earnings (loss) per common share - basic is computed by dividing net earnings (loss) by the weighted average number of common shares outstanding during each period. Earnings (loss) per common share - diluted is computed by dividing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8" w:lineRule="exact"/>
        <w:rPr>
          <w:sz w:val="20"/>
          <w:szCs w:val="20"/>
          <w:color w:val="auto"/>
        </w:rPr>
      </w:pPr>
    </w:p>
    <w:p>
      <w:pPr>
        <w:jc w:val="both"/>
        <w:ind w:left="652" w:right="100"/>
        <w:spacing w:after="0" w:line="263"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(loss) per share because their effect was anti-dilutive:</w:t>
      </w:r>
    </w:p>
    <w:p>
      <w:pPr>
        <w:spacing w:after="0" w:line="180"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33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6780" w:type="dxa"/>
            <w:vAlign w:val="bottom"/>
          </w:tcPr>
          <w:p>
            <w:pPr>
              <w:spacing w:after="0"/>
              <w:rPr>
                <w:sz w:val="20"/>
                <w:szCs w:val="20"/>
                <w:color w:val="auto"/>
              </w:rPr>
            </w:pPr>
          </w:p>
        </w:tc>
        <w:tc>
          <w:tcPr>
            <w:tcW w:w="21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3"/>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780" w:type="dxa"/>
            <w:vAlign w:val="bottom"/>
          </w:tcPr>
          <w:p>
            <w:pPr>
              <w:spacing w:after="0"/>
              <w:rPr>
                <w:sz w:val="18"/>
                <w:szCs w:val="18"/>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10,755,729</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10,617,271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of restricted stock and employee stock options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332,935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225,321</w:t>
            </w:r>
          </w:p>
        </w:tc>
      </w:tr>
      <w:tr>
        <w:trPr>
          <w:trHeight w:val="20"/>
        </w:trPr>
        <w:tc>
          <w:tcPr>
            <w:tcW w:w="67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w w:val="97"/>
              </w:rPr>
              <w:t>Weighted average common shares and common share equivalents outstanding–diluted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11,088,664</w:t>
            </w:r>
          </w:p>
        </w:tc>
        <w:tc>
          <w:tcPr>
            <w:tcW w:w="4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10,842,592</w:t>
            </w:r>
          </w:p>
        </w:tc>
      </w:tr>
      <w:tr>
        <w:trPr>
          <w:trHeight w:val="20"/>
        </w:trPr>
        <w:tc>
          <w:tcPr>
            <w:tcW w:w="67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7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number of potentially dilutive securities excluded from calculation</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154,429</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318,574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652"/>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652" w:right="140"/>
        <w:spacing w:after="0" w:line="271" w:lineRule="auto"/>
        <w:rPr>
          <w:sz w:val="20"/>
          <w:szCs w:val="20"/>
          <w:color w:val="auto"/>
        </w:rPr>
      </w:pPr>
      <w:r>
        <w:rPr>
          <w:rFonts w:ascii="Arial" w:cs="Arial" w:eastAsia="Arial" w:hAnsi="Arial"/>
          <w:sz w:val="17"/>
          <w:szCs w:val="17"/>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were effective for us for reporting periods beginning after December 15, 2022. The amendments replaced the incurred loss impairment methodology under current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adopted the amendments when they became effective for us on January 1, 2023. The adoption of these amendments did not have any impact on our consolidated financial statements.</w:t>
      </w:r>
    </w:p>
    <w:p>
      <w:pPr>
        <w:spacing w:after="0" w:line="201" w:lineRule="exact"/>
        <w:rPr>
          <w:sz w:val="20"/>
          <w:szCs w:val="20"/>
          <w:color w:val="auto"/>
        </w:rPr>
      </w:pPr>
    </w:p>
    <w:p>
      <w:pPr>
        <w:ind w:left="652" w:hanging="652"/>
        <w:spacing w:after="0"/>
        <w:tabs>
          <w:tab w:leader="none" w:pos="6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652"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87" w:lineRule="exact"/>
        <w:rPr>
          <w:rFonts w:ascii="Arial" w:cs="Arial" w:eastAsia="Arial" w:hAnsi="Arial"/>
          <w:sz w:val="18"/>
          <w:szCs w:val="18"/>
          <w:b w:val="1"/>
          <w:bCs w:val="1"/>
          <w:color w:val="auto"/>
        </w:rPr>
      </w:pPr>
    </w:p>
    <w:p>
      <w:pPr>
        <w:ind w:left="65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spacing w:after="0" w:line="165" w:lineRule="exact"/>
        <w:rPr>
          <w:rFonts w:ascii="Arial" w:cs="Arial" w:eastAsia="Arial" w:hAnsi="Arial"/>
          <w:sz w:val="18"/>
          <w:szCs w:val="18"/>
          <w:b w:val="1"/>
          <w:bCs w:val="1"/>
          <w:color w:val="auto"/>
        </w:rPr>
      </w:pPr>
    </w:p>
    <w:p>
      <w:pPr>
        <w:ind w:left="5552" w:hanging="109"/>
        <w:spacing w:after="0"/>
        <w:tabs>
          <w:tab w:leader="none" w:pos="5552" w:val="left"/>
        </w:tabs>
        <w:numPr>
          <w:ilvl w:val="1"/>
          <w:numId w:val="5"/>
        </w:numPr>
        <w:rPr>
          <w:rFonts w:ascii="Arial" w:cs="Arial" w:eastAsia="Arial" w:hAnsi="Arial"/>
          <w:sz w:val="18"/>
          <w:szCs w:val="18"/>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11"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7"/>
          <w:szCs w:val="17"/>
          <w:color w:val="auto"/>
        </w:rPr>
        <w:t>Level 1 Valuations based on unadjusted quoted prices in active markets for identical assets or liabilities that we have the ability to access.</w:t>
      </w:r>
    </w:p>
    <w:p>
      <w:pPr>
        <w:spacing w:after="0" w:line="237"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Valuations based on inputs that are unobservable and significant to the overall fair value measurement.</w:t>
      </w:r>
    </w:p>
    <w:p>
      <w:pPr>
        <w:spacing w:after="0" w:line="225"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Recurring Fair Value Measurements</w:t>
      </w:r>
    </w:p>
    <w:p>
      <w:pPr>
        <w:spacing w:after="0" w:line="225" w:lineRule="exact"/>
        <w:rPr>
          <w:sz w:val="20"/>
          <w:szCs w:val="20"/>
          <w:color w:val="auto"/>
        </w:rPr>
      </w:pPr>
    </w:p>
    <w:p>
      <w:pPr>
        <w:ind w:left="660" w:right="40"/>
        <w:spacing w:after="0" w:line="296" w:lineRule="auto"/>
        <w:rPr>
          <w:sz w:val="20"/>
          <w:szCs w:val="20"/>
          <w:color w:val="auto"/>
        </w:rPr>
      </w:pPr>
      <w:r>
        <w:rPr>
          <w:rFonts w:ascii="Arial" w:cs="Arial" w:eastAsia="Arial" w:hAnsi="Arial"/>
          <w:sz w:val="16"/>
          <w:szCs w:val="16"/>
          <w:color w:val="auto"/>
        </w:rPr>
        <w:t>The interest rate swap agreement we entered into in connection with our Term Note, as discussed further in Notes 2 and 9 is measured at fair value on a recurring basis using Level 2 inputs. The contingent consideration liability on our balance sheet is measured at fair value on a recurring basis using Level 3 inputs. Our contingent consideration liability is a result of our acquisition of Acculogic on December 21, 2021, and represents the estimated fair value of the additional cash consideration payable that is contingent upon sales to Electric Vehicle (“EV”) or battery customers. Our acquisition of Acculogic and this liability are both discussed further in Note 3 to our consolidated financial statements in our 2022 Form 10-K.</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fair value hierarchy table presents information about assets and (liabilities) measured at fair value on a recurring basis: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Amounts at</w:t>
            </w:r>
          </w:p>
        </w:tc>
        <w:tc>
          <w:tcPr>
            <w:tcW w:w="220" w:type="dxa"/>
            <w:vAlign w:val="bottom"/>
          </w:tcPr>
          <w:p>
            <w:pPr>
              <w:spacing w:after="0"/>
              <w:rPr>
                <w:sz w:val="20"/>
                <w:szCs w:val="20"/>
                <w:color w:val="auto"/>
              </w:rPr>
            </w:pPr>
          </w:p>
        </w:tc>
        <w:tc>
          <w:tcPr>
            <w:tcW w:w="3940" w:type="dxa"/>
            <w:vAlign w:val="bottom"/>
            <w:gridSpan w:val="8"/>
          </w:tcPr>
          <w:p>
            <w:pPr>
              <w:jc w:val="right"/>
              <w:ind w:right="920"/>
              <w:spacing w:after="0"/>
              <w:rPr>
                <w:sz w:val="20"/>
                <w:szCs w:val="20"/>
                <w:color w:val="auto"/>
              </w:rPr>
            </w:pPr>
            <w:r>
              <w:rPr>
                <w:rFonts w:ascii="Arial" w:cs="Arial" w:eastAsia="Arial" w:hAnsi="Arial"/>
                <w:sz w:val="18"/>
                <w:szCs w:val="18"/>
                <w:b w:val="1"/>
                <w:bCs w:val="1"/>
                <w:color w:val="auto"/>
              </w:rPr>
              <w:t>Fair Value Measurement Using</w:t>
            </w:r>
          </w:p>
        </w:tc>
      </w:tr>
      <w:tr>
        <w:trPr>
          <w:trHeight w:val="209"/>
        </w:trPr>
        <w:tc>
          <w:tcPr>
            <w:tcW w:w="4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2023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Contingent consideration liability – Acculogic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(1,367)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(1,367)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Amounts at</w:t>
            </w:r>
          </w:p>
        </w:tc>
        <w:tc>
          <w:tcPr>
            <w:tcW w:w="220" w:type="dxa"/>
            <w:vAlign w:val="bottom"/>
          </w:tcPr>
          <w:p>
            <w:pPr>
              <w:spacing w:after="0"/>
              <w:rPr>
                <w:sz w:val="20"/>
                <w:szCs w:val="20"/>
                <w:color w:val="auto"/>
              </w:rPr>
            </w:pPr>
          </w:p>
        </w:tc>
        <w:tc>
          <w:tcPr>
            <w:tcW w:w="3940" w:type="dxa"/>
            <w:vAlign w:val="bottom"/>
            <w:gridSpan w:val="8"/>
          </w:tcPr>
          <w:p>
            <w:pPr>
              <w:jc w:val="right"/>
              <w:ind w:right="920"/>
              <w:spacing w:after="0"/>
              <w:rPr>
                <w:sz w:val="20"/>
                <w:szCs w:val="20"/>
                <w:color w:val="auto"/>
              </w:rPr>
            </w:pPr>
            <w:r>
              <w:rPr>
                <w:rFonts w:ascii="Arial" w:cs="Arial" w:eastAsia="Arial" w:hAnsi="Arial"/>
                <w:sz w:val="18"/>
                <w:szCs w:val="18"/>
                <w:b w:val="1"/>
                <w:bCs w:val="1"/>
                <w:color w:val="auto"/>
              </w:rPr>
              <w:t>Fair Value Measurement Using</w:t>
            </w:r>
          </w:p>
        </w:tc>
      </w:tr>
      <w:tr>
        <w:trPr>
          <w:trHeight w:val="210"/>
        </w:trPr>
        <w:tc>
          <w:tcPr>
            <w:tcW w:w="4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Contingent consideration liability – Acculogic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(1,363)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(1,363)</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Changes in the fair value of our Level 3 contingent consideration liabilities for the three months ended March 31, 2023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Three</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Months Ended</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2023</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Impact of foreign currency translation adjustments</w:t>
            </w:r>
          </w:p>
        </w:tc>
        <w:tc>
          <w:tcPr>
            <w:tcW w:w="4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260" w:type="dxa"/>
            <w:vAlign w:val="bottom"/>
            <w:vMerge w:val="restart"/>
          </w:tcPr>
          <w:p>
            <w:pPr>
              <w:jc w:val="right"/>
              <w:ind w:right="3250"/>
              <w:spacing w:after="0"/>
              <w:rPr>
                <w:sz w:val="20"/>
                <w:szCs w:val="20"/>
                <w:color w:val="auto"/>
              </w:rPr>
            </w:pPr>
            <w:r>
              <w:rPr>
                <w:rFonts w:ascii="Arial" w:cs="Arial" w:eastAsia="Arial" w:hAnsi="Arial"/>
                <w:sz w:val="18"/>
                <w:szCs w:val="18"/>
                <w:color w:val="auto"/>
              </w:rPr>
              <w:t>- 13-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15" w:name="page16"/>
    <w:bookmarkEnd w:id="15"/>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rFonts w:ascii="Arial" w:cs="Arial" w:eastAsia="Arial" w:hAnsi="Arial"/>
          <w:sz w:val="18"/>
          <w:szCs w:val="18"/>
          <w:b w:val="1"/>
          <w:bCs w:val="1"/>
          <w:color w:val="auto"/>
        </w:rPr>
      </w:pPr>
    </w:p>
    <w:p>
      <w:pPr>
        <w:ind w:left="66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three operating segments which are also our reporting units: Electronic Test, Environmental Technologies and Process Technologies. Goodwill and intangible assets on our balance sheets are the result of our acquisitions.</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amount of the carrying value of goodwill for the three months ended March 31, 2023 are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2023</w:t>
            </w:r>
          </w:p>
        </w:tc>
        <w:tc>
          <w:tcPr>
            <w:tcW w:w="29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21,605</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Impact of foreign currency translation adjustments</w:t>
            </w:r>
          </w:p>
        </w:tc>
        <w:tc>
          <w:tcPr>
            <w:tcW w:w="2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5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2023</w:t>
            </w:r>
          </w:p>
        </w:tc>
        <w:tc>
          <w:tcPr>
            <w:tcW w:w="2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w w:val="91"/>
              </w:rPr>
              <w:t>Goodwill was comprised of the following at March 31, 2023 and December 31, 2022:</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Electronic Test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Environmental Technologies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Process Technologies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16,419</w:t>
            </w:r>
          </w:p>
        </w:tc>
      </w:tr>
      <w:tr>
        <w:trPr>
          <w:trHeight w:val="20"/>
        </w:trPr>
        <w:tc>
          <w:tcPr>
            <w:tcW w:w="6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00" w:type="dxa"/>
            <w:vAlign w:val="bottom"/>
          </w:tcPr>
          <w:p>
            <w:pPr>
              <w:spacing w:after="0"/>
              <w:rPr>
                <w:sz w:val="20"/>
                <w:szCs w:val="20"/>
                <w:color w:val="auto"/>
              </w:rPr>
            </w:pPr>
            <w:r>
              <w:rPr>
                <w:rFonts w:ascii="Arial" w:cs="Arial" w:eastAsia="Arial" w:hAnsi="Arial"/>
                <w:sz w:val="18"/>
                <w:szCs w:val="18"/>
                <w:color w:val="auto"/>
              </w:rPr>
              <w:t>Total goodwill</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21,636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21,605</w:t>
            </w:r>
          </w:p>
        </w:tc>
      </w:tr>
      <w:tr>
        <w:trPr>
          <w:trHeight w:val="20"/>
        </w:trPr>
        <w:tc>
          <w:tcPr>
            <w:tcW w:w="6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Changes in the amount of the carrying value of indefinite-lived intangible assets for the three months ended March 31, 2023 are as follows:</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2023</w:t>
            </w:r>
          </w:p>
        </w:tc>
        <w:tc>
          <w:tcPr>
            <w:tcW w:w="27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Impact of foreign currency translation adjustments</w:t>
            </w:r>
          </w:p>
        </w:tc>
        <w:tc>
          <w:tcPr>
            <w:tcW w:w="21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49"/>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2023</w:t>
            </w:r>
          </w:p>
        </w:tc>
        <w:tc>
          <w:tcPr>
            <w:tcW w:w="2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Changes in the amount of the carrying value of finite-lived intangible assets for the three months ended March 31, 2023 are as follows:</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2023</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Impact of foreign currency translation adjustments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r>
      <w:tr>
        <w:trPr>
          <w:trHeight w:val="210"/>
        </w:trPr>
        <w:tc>
          <w:tcPr>
            <w:tcW w:w="7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 March 31, 2023</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9,671</w:t>
            </w:r>
          </w:p>
        </w:tc>
        <w:tc>
          <w:tcPr>
            <w:tcW w:w="100" w:type="dxa"/>
            <w:vAlign w:val="bottom"/>
            <w:tcBorders>
              <w:top w:val="single" w:sz="8" w:color="CCEEFF"/>
            </w:tcBorders>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were allocated to our reporting segments at March 31, 2023 and December 31, 2022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Electronic Test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Environmental Technologies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Process Technologies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13,588</w:t>
            </w:r>
          </w:p>
        </w:tc>
      </w:tr>
      <w:tr>
        <w:trPr>
          <w:trHeight w:val="20"/>
        </w:trPr>
        <w:tc>
          <w:tcPr>
            <w:tcW w:w="6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18,046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18,559</w:t>
            </w:r>
          </w:p>
        </w:tc>
      </w:tr>
      <w:tr>
        <w:trPr>
          <w:trHeight w:val="20"/>
        </w:trPr>
        <w:tc>
          <w:tcPr>
            <w:tcW w:w="6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further detail about our intangible assets as of March 31,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March 31, 2023</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1"/>
        </w:trPr>
        <w:tc>
          <w:tcPr>
            <w:tcW w:w="6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Accumulated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10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04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16,334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8,431</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7,903</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Patents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Backlog</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name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9,671</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8,375</w:t>
            </w:r>
          </w:p>
        </w:tc>
        <w:tc>
          <w:tcPr>
            <w:tcW w:w="1040" w:type="dxa"/>
            <w:vAlign w:val="bottom"/>
          </w:tcPr>
          <w:p>
            <w:pPr>
              <w:spacing w:after="0"/>
              <w:rPr>
                <w:sz w:val="18"/>
                <w:szCs w:val="18"/>
                <w:color w:val="auto"/>
              </w:rPr>
            </w:pPr>
          </w:p>
        </w:tc>
      </w:tr>
      <w:tr>
        <w:trPr>
          <w:trHeight w:val="249"/>
        </w:trPr>
        <w:tc>
          <w:tcPr>
            <w:tcW w:w="66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770"/>
              <w:spacing w:after="0"/>
              <w:rPr>
                <w:sz w:val="20"/>
                <w:szCs w:val="20"/>
                <w:color w:val="auto"/>
              </w:rPr>
            </w:pPr>
            <w:r>
              <w:rPr>
                <w:rFonts w:ascii="Arial" w:cs="Arial" w:eastAsia="Arial" w:hAnsi="Arial"/>
                <w:sz w:val="18"/>
                <w:szCs w:val="18"/>
                <w:color w:val="auto"/>
              </w:rPr>
              <w:t>- 14-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838" w:gutter="0" w:footer="0" w:header="0"/>
        </w:sectPr>
      </w:pPr>
    </w:p>
    <w:bookmarkStart w:id="16" w:name="page17"/>
    <w:bookmarkEnd w:id="16"/>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2022</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Accumulated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Amortization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16,313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7,990</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8,323</w:t>
            </w:r>
          </w:p>
        </w:tc>
      </w:tr>
      <w:tr>
        <w:trPr>
          <w:trHeight w:val="216"/>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w:t>
            </w: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Backlog</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name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4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10,470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10,190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8,369</w:t>
            </w:r>
          </w:p>
        </w:tc>
      </w:tr>
      <w:tr>
        <w:trPr>
          <w:trHeight w:val="249"/>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29,029</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52"/>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be based on the pattern in which the economic benefits of the intangible asset are expected to be consumed. None of our intangible assets have any residual value.</w:t>
      </w:r>
    </w:p>
    <w:p>
      <w:pPr>
        <w:spacing w:after="0" w:line="187"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w w:val="92"/>
              </w:rPr>
              <w:t>The following table sets forth the estimated annual amortization expense for each of the next five years:</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48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2023 (remainder)</w:t>
            </w:r>
          </w:p>
        </w:tc>
        <w:tc>
          <w:tcPr>
            <w:tcW w:w="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1,549</w:t>
            </w:r>
          </w:p>
        </w:tc>
      </w:tr>
      <w:tr>
        <w:trPr>
          <w:trHeight w:val="216"/>
        </w:trPr>
        <w:tc>
          <w:tcPr>
            <w:tcW w:w="4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2024</w:t>
            </w:r>
          </w:p>
        </w:tc>
        <w:tc>
          <w:tcPr>
            <w:tcW w:w="8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1,971</w:t>
            </w:r>
          </w:p>
        </w:tc>
      </w:tr>
      <w:tr>
        <w:trPr>
          <w:trHeight w:val="216"/>
        </w:trPr>
        <w:tc>
          <w:tcPr>
            <w:tcW w:w="4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1,762</w:t>
            </w:r>
          </w:p>
        </w:tc>
      </w:tr>
      <w:tr>
        <w:trPr>
          <w:trHeight w:val="216"/>
        </w:trPr>
        <w:tc>
          <w:tcPr>
            <w:tcW w:w="4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2026</w:t>
            </w:r>
          </w:p>
        </w:tc>
        <w:tc>
          <w:tcPr>
            <w:tcW w:w="8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1,153</w:t>
            </w:r>
          </w:p>
        </w:tc>
      </w:tr>
      <w:tr>
        <w:trPr>
          <w:trHeight w:val="216"/>
        </w:trPr>
        <w:tc>
          <w:tcPr>
            <w:tcW w:w="4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r>
    </w:tbl>
    <w:p>
      <w:pPr>
        <w:spacing w:after="0" w:line="225" w:lineRule="exact"/>
        <w:rPr>
          <w:sz w:val="20"/>
          <w:szCs w:val="20"/>
          <w:color w:val="auto"/>
        </w:rPr>
      </w:pPr>
    </w:p>
    <w:p>
      <w:pPr>
        <w:ind w:left="652" w:hanging="652"/>
        <w:spacing w:after="0"/>
        <w:tabs>
          <w:tab w:leader="none" w:pos="6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rFonts w:ascii="Arial" w:cs="Arial" w:eastAsia="Arial" w:hAnsi="Arial"/>
          <w:sz w:val="18"/>
          <w:szCs w:val="18"/>
          <w:b w:val="1"/>
          <w:bCs w:val="1"/>
          <w:color w:val="auto"/>
        </w:rPr>
      </w:pPr>
    </w:p>
    <w:p>
      <w:pPr>
        <w:ind w:left="652"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following tables provide additional information about our revenue from contracts with customers, including revenue by customer and product type and revenue by market. The information about revenue by customer and product type for the three months ended March 31, 2022 has been reclassified to be consistent with how the information for the current period is presented. See also Note 13 for information about revenue by operating segment and geographic region.</w:t>
      </w:r>
    </w:p>
    <w:p>
      <w:pPr>
        <w:spacing w:after="0" w:line="183"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00" w:type="dxa"/>
            <w:vAlign w:val="bottom"/>
            <w:gridSpan w:val="4"/>
          </w:tcPr>
          <w:p>
            <w:pPr>
              <w:jc w:val="right"/>
              <w:ind w:right="187"/>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607"/>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 by customer type:</w:t>
            </w:r>
          </w:p>
        </w:tc>
        <w:tc>
          <w:tcPr>
            <w:tcW w:w="16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End user</w:t>
            </w:r>
          </w:p>
        </w:tc>
        <w:tc>
          <w:tcPr>
            <w:tcW w:w="26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21,594</w:t>
            </w:r>
          </w:p>
        </w:tc>
        <w:tc>
          <w:tcPr>
            <w:tcW w:w="116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17,142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OEM/Integrator</w:t>
            </w:r>
          </w:p>
        </w:tc>
        <w:tc>
          <w:tcPr>
            <w:tcW w:w="1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10,215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w:t>
            </w:r>
          </w:p>
        </w:tc>
      </w:tr>
      <w:tr>
        <w:trPr>
          <w:trHeight w:val="20"/>
        </w:trPr>
        <w:tc>
          <w:tcPr>
            <w:tcW w:w="45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31,919</w:t>
            </w:r>
          </w:p>
        </w:tc>
        <w:tc>
          <w:tcPr>
            <w:tcW w:w="116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24,081</w:t>
            </w:r>
          </w:p>
        </w:tc>
      </w:tr>
      <w:tr>
        <w:trPr>
          <w:trHeight w:val="20"/>
        </w:trPr>
        <w:tc>
          <w:tcPr>
            <w:tcW w:w="4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Revenue by product type:</w:t>
            </w:r>
          </w:p>
        </w:tc>
        <w:tc>
          <w:tcPr>
            <w:tcW w:w="1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Thermal test</w:t>
            </w:r>
          </w:p>
        </w:tc>
        <w:tc>
          <w:tcPr>
            <w:tcW w:w="26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5,820</w:t>
            </w:r>
          </w:p>
        </w:tc>
        <w:tc>
          <w:tcPr>
            <w:tcW w:w="116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5,057</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Thermal process</w:t>
            </w:r>
          </w:p>
        </w:tc>
        <w:tc>
          <w:tcPr>
            <w:tcW w:w="1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Semiconductor test</w:t>
            </w: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8,105</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6,008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Video imaging</w:t>
            </w:r>
          </w:p>
        </w:tc>
        <w:tc>
          <w:tcPr>
            <w:tcW w:w="1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Flying probe and in-circuit testers</w:t>
            </w: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1,160</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1,688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Service/other</w:t>
            </w:r>
          </w:p>
        </w:tc>
        <w:tc>
          <w:tcPr>
            <w:tcW w:w="1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w:t>
            </w:r>
          </w:p>
        </w:tc>
      </w:tr>
      <w:tr>
        <w:trPr>
          <w:trHeight w:val="20"/>
        </w:trPr>
        <w:tc>
          <w:tcPr>
            <w:tcW w:w="45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31,919</w:t>
            </w:r>
          </w:p>
        </w:tc>
        <w:tc>
          <w:tcPr>
            <w:tcW w:w="116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24,081</w:t>
            </w:r>
          </w:p>
        </w:tc>
      </w:tr>
      <w:tr>
        <w:trPr>
          <w:trHeight w:val="20"/>
        </w:trPr>
        <w:tc>
          <w:tcPr>
            <w:tcW w:w="4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Revenue by market:</w:t>
            </w:r>
          </w:p>
        </w:tc>
        <w:tc>
          <w:tcPr>
            <w:tcW w:w="1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Semiconductor</w:t>
            </w:r>
          </w:p>
        </w:tc>
        <w:tc>
          <w:tcPr>
            <w:tcW w:w="26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17,683</w:t>
            </w:r>
          </w:p>
        </w:tc>
        <w:tc>
          <w:tcPr>
            <w:tcW w:w="116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13,390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Automotive (including Electric Vehicles)</w:t>
            </w: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2,597</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2,756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Life Sciences</w:t>
            </w:r>
          </w:p>
        </w:tc>
        <w:tc>
          <w:tcPr>
            <w:tcW w:w="1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Defense/aerospace</w:t>
            </w: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2,839</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1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3,184</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2,370</w:t>
            </w:r>
          </w:p>
        </w:tc>
      </w:tr>
      <w:tr>
        <w:trPr>
          <w:trHeight w:val="249"/>
        </w:trPr>
        <w:tc>
          <w:tcPr>
            <w:tcW w:w="45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31,919</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24,081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There were no significant changes in the amount of the allowance for credit losses for the three months ended March 31, 2023.</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607" w:right="359" w:bottom="1440" w:gutter="0" w:footer="0" w:header="0"/>
        </w:sectPr>
      </w:pPr>
    </w:p>
    <w:bookmarkStart w:id="17" w:name="page18"/>
    <w:bookmarkEnd w:id="17"/>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rFonts w:ascii="Arial" w:cs="Arial" w:eastAsia="Arial" w:hAnsi="Arial"/>
          <w:sz w:val="18"/>
          <w:szCs w:val="18"/>
          <w:b w:val="1"/>
          <w:bCs w:val="1"/>
          <w:color w:val="auto"/>
        </w:rPr>
      </w:pPr>
    </w:p>
    <w:p>
      <w:pPr>
        <w:ind w:left="660" w:right="2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During the three months ended March 31, 2023, one customer accounted for 13% of our consolidated revenue. This revenue was primarily generated by our Electronic Test segment. No other customers accounted for 10% or more of our consolidated revenue during the three months ended March 31, 2023. During the three months ended March 31, 2022, no customer accounted for 10% or more of our consolidated revenue.</w:t>
      </w:r>
    </w:p>
    <w:p>
      <w:pPr>
        <w:spacing w:after="0" w:line="171" w:lineRule="exact"/>
        <w:rPr>
          <w:rFonts w:ascii="Arial" w:cs="Arial" w:eastAsia="Arial" w:hAnsi="Arial"/>
          <w:sz w:val="18"/>
          <w:szCs w:val="18"/>
          <w:b w:val="1"/>
          <w:bCs w:val="1"/>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Inventories held at March 31, 2023 and December 31, 2022 were comprised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16,888</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8"/>
                <w:szCs w:val="18"/>
                <w:color w:val="auto"/>
              </w:rPr>
            </w:pPr>
          </w:p>
        </w:tc>
      </w:tr>
      <w:tr>
        <w:trPr>
          <w:trHeight w:val="249"/>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rFonts w:ascii="Arial" w:cs="Arial" w:eastAsia="Arial" w:hAnsi="Arial"/>
          <w:sz w:val="18"/>
          <w:szCs w:val="18"/>
          <w:b w:val="1"/>
          <w:bCs w:val="1"/>
          <w:color w:val="auto"/>
        </w:rPr>
      </w:pPr>
    </w:p>
    <w:p>
      <w:pPr>
        <w:jc w:val="both"/>
        <w:ind w:left="66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 previously discussed in Note 2, we account for our leases in accordance with the guidance in ASC Topic 842. We lease our offices, warehouse facilities and certain equipment under non-cancellable operating leases that expire at various dates through 2031. Total operating lease and short-term lease costs for the three months ended March 31, 2023 and 2022, respectively,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3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64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Short-term lease cost</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4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00" w:type="dxa"/>
            <w:vAlign w:val="bottom"/>
            <w:gridSpan w:val="2"/>
          </w:tcPr>
          <w:p>
            <w:pPr>
              <w:ind w:left="660"/>
              <w:spacing w:after="0"/>
              <w:rPr>
                <w:sz w:val="20"/>
                <w:szCs w:val="20"/>
                <w:color w:val="auto"/>
              </w:rPr>
            </w:pPr>
            <w:r>
              <w:rPr>
                <w:rFonts w:ascii="Arial" w:cs="Arial" w:eastAsia="Arial" w:hAnsi="Arial"/>
                <w:sz w:val="18"/>
                <w:szCs w:val="18"/>
                <w:color w:val="auto"/>
                <w:w w:val="99"/>
              </w:rPr>
              <w:t>The following is additional information about our leases as of March 31, 2023:</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Range of remaining lease terms (in years)</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to   8.1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ind w:left="660"/>
              <w:spacing w:after="0"/>
              <w:rPr>
                <w:sz w:val="20"/>
                <w:szCs w:val="20"/>
                <w:color w:val="auto"/>
              </w:rPr>
            </w:pPr>
            <w:r>
              <w:rPr>
                <w:rFonts w:ascii="Arial" w:cs="Arial" w:eastAsia="Arial" w:hAnsi="Arial"/>
                <w:sz w:val="18"/>
                <w:szCs w:val="18"/>
                <w:color w:val="auto"/>
              </w:rPr>
              <w:t>Maturities of lease liabilities as of March 31, 2023 were as follows:</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2024</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2026</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Thereafter</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800" w:type="dxa"/>
            <w:vAlign w:val="bottom"/>
            <w:gridSpan w:val="2"/>
          </w:tcPr>
          <w:p>
            <w:pPr>
              <w:jc w:val="right"/>
              <w:ind w:right="910"/>
              <w:spacing w:after="0"/>
              <w:rPr>
                <w:sz w:val="20"/>
                <w:szCs w:val="20"/>
                <w:color w:val="auto"/>
              </w:rPr>
            </w:pPr>
            <w:r>
              <w:rPr>
                <w:rFonts w:ascii="Arial" w:cs="Arial" w:eastAsia="Arial" w:hAnsi="Arial"/>
                <w:sz w:val="18"/>
                <w:szCs w:val="18"/>
                <w:color w:val="auto"/>
              </w:rPr>
              <w:t>- 16-</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56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0" w:right="339" w:bottom="1440" w:gutter="0" w:footer="0" w:header="0"/>
        </w:sectPr>
      </w:pPr>
    </w:p>
    <w:bookmarkStart w:id="18" w:name="page19"/>
    <w:bookmarkEnd w:id="18"/>
    <w:p>
      <w:pPr>
        <w:ind w:left="652"/>
        <w:spacing w:after="0"/>
        <w:rPr>
          <w:sz w:val="20"/>
          <w:szCs w:val="20"/>
          <w:color w:val="auto"/>
        </w:rPr>
      </w:pPr>
      <w:r>
        <w:rPr>
          <w:rFonts w:ascii="Arial" w:cs="Arial" w:eastAsia="Arial" w:hAnsi="Arial"/>
          <w:sz w:val="18"/>
          <w:szCs w:val="18"/>
          <w:b w:val="1"/>
          <w:bCs w:val="1"/>
          <w:i w:val="1"/>
          <w:iCs w:val="1"/>
          <w:u w:val="single" w:color="auto"/>
          <w:color w:val="auto"/>
        </w:rPr>
        <w:t>Cash Flow Information</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Total amortization of ROU assets for the three months ended March 31, 2023 and 2022 was $391 and $309, respectively.</w:t>
      </w:r>
    </w:p>
    <w:p>
      <w:pPr>
        <w:spacing w:after="0" w:line="225" w:lineRule="exact"/>
        <w:rPr>
          <w:sz w:val="20"/>
          <w:szCs w:val="20"/>
          <w:color w:val="auto"/>
        </w:rPr>
      </w:pPr>
    </w:p>
    <w:p>
      <w:pPr>
        <w:ind w:left="652" w:right="340"/>
        <w:spacing w:after="0" w:line="257" w:lineRule="auto"/>
        <w:rPr>
          <w:sz w:val="20"/>
          <w:szCs w:val="20"/>
          <w:color w:val="auto"/>
        </w:rPr>
      </w:pPr>
      <w:r>
        <w:rPr>
          <w:rFonts w:ascii="Arial" w:cs="Arial" w:eastAsia="Arial" w:hAnsi="Arial"/>
          <w:sz w:val="18"/>
          <w:szCs w:val="18"/>
          <w:color w:val="auto"/>
        </w:rPr>
        <w:t>During the three months ended March 31, 2023, we entered into a 25-month lease for a facility for our Environmental Technologies segment’s operation in Germany. At the effective date of this lease, we recorded a non-cash increase in our ROU assets and operating lease liabilities of approximately $90. During this same period, we entered into a 36-month lease for a car for one of the employees of our Process Technologies segment who is based in Europe. At the effective date of this lease, we recorded a non-cash increase in our ROU assets and operating lease liabilities of approximately $30.</w:t>
      </w:r>
    </w:p>
    <w:p>
      <w:pPr>
        <w:spacing w:after="0" w:line="211" w:lineRule="exact"/>
        <w:rPr>
          <w:sz w:val="20"/>
          <w:szCs w:val="20"/>
          <w:color w:val="auto"/>
        </w:rPr>
      </w:pPr>
    </w:p>
    <w:p>
      <w:pPr>
        <w:ind w:left="652" w:hanging="652"/>
        <w:spacing w:after="0"/>
        <w:tabs>
          <w:tab w:leader="none" w:pos="6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rFonts w:ascii="Arial" w:cs="Arial" w:eastAsia="Arial" w:hAnsi="Arial"/>
          <w:sz w:val="18"/>
          <w:szCs w:val="18"/>
          <w:b w:val="1"/>
          <w:bCs w:val="1"/>
          <w:color w:val="auto"/>
        </w:rPr>
      </w:pPr>
    </w:p>
    <w:p>
      <w:pPr>
        <w:ind w:left="65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March 31, 2023 and December 31, 2022 consisted of the following:</w:t>
      </w:r>
    </w:p>
    <w:p>
      <w:pPr>
        <w:spacing w:after="0" w:line="167" w:lineRule="exact"/>
        <w:rPr>
          <w:sz w:val="20"/>
          <w:szCs w:val="20"/>
          <w:color w:val="auto"/>
        </w:rPr>
      </w:pPr>
    </w:p>
    <w:tbl>
      <w:tblPr>
        <w:tblLayout w:type="fixed"/>
        <w:tblInd w:w="1132"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Letters of Credit</w:t>
            </w:r>
          </w:p>
        </w:tc>
        <w:tc>
          <w:tcPr>
            <w:tcW w:w="1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L/C</w:t>
            </w:r>
          </w:p>
        </w:tc>
        <w:tc>
          <w:tcPr>
            <w:tcW w:w="100" w:type="dxa"/>
            <w:vAlign w:val="bottom"/>
          </w:tcPr>
          <w:p>
            <w:pPr>
              <w:spacing w:after="0"/>
              <w:rPr>
                <w:sz w:val="20"/>
                <w:szCs w:val="20"/>
                <w:color w:val="auto"/>
              </w:rPr>
            </w:pPr>
          </w:p>
        </w:tc>
        <w:tc>
          <w:tcPr>
            <w:tcW w:w="1340" w:type="dxa"/>
            <w:vAlign w:val="bottom"/>
            <w:gridSpan w:val="3"/>
          </w:tcPr>
          <w:p>
            <w:pPr>
              <w:jc w:val="center"/>
              <w:ind w:right="227"/>
              <w:spacing w:after="0"/>
              <w:rPr>
                <w:sz w:val="20"/>
                <w:szCs w:val="20"/>
                <w:color w:val="auto"/>
              </w:rPr>
            </w:pPr>
            <w:r>
              <w:rPr>
                <w:rFonts w:ascii="Arial" w:cs="Arial" w:eastAsia="Arial" w:hAnsi="Arial"/>
                <w:sz w:val="18"/>
                <w:szCs w:val="18"/>
                <w:b w:val="1"/>
                <w:bCs w:val="1"/>
                <w:color w:val="auto"/>
                <w:w w:val="86"/>
              </w:rPr>
              <w:t>Lease</w:t>
            </w:r>
          </w:p>
        </w:tc>
        <w:tc>
          <w:tcPr>
            <w:tcW w:w="23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Amount Outstanding</w:t>
            </w:r>
          </w:p>
        </w:tc>
        <w:tc>
          <w:tcPr>
            <w:tcW w:w="10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60" w:type="dxa"/>
            <w:vAlign w:val="bottom"/>
            <w:gridSpan w:val="2"/>
          </w:tcPr>
          <w:p>
            <w:pPr>
              <w:jc w:val="right"/>
              <w:ind w:right="140"/>
              <w:spacing w:after="0" w:line="191" w:lineRule="exact"/>
              <w:rPr>
                <w:sz w:val="20"/>
                <w:szCs w:val="20"/>
                <w:color w:val="auto"/>
              </w:rPr>
            </w:pPr>
            <w:r>
              <w:rPr>
                <w:rFonts w:ascii="Arial" w:cs="Arial" w:eastAsia="Arial" w:hAnsi="Arial"/>
                <w:sz w:val="18"/>
                <w:szCs w:val="18"/>
                <w:b w:val="1"/>
                <w:bCs w:val="1"/>
                <w:color w:val="auto"/>
                <w:w w:val="97"/>
              </w:rPr>
              <w:t>Original L/C</w:t>
            </w:r>
          </w:p>
        </w:tc>
        <w:tc>
          <w:tcPr>
            <w:tcW w:w="10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Expiration</w:t>
            </w:r>
          </w:p>
        </w:tc>
        <w:tc>
          <w:tcPr>
            <w:tcW w:w="100" w:type="dxa"/>
            <w:vAlign w:val="bottom"/>
          </w:tcPr>
          <w:p>
            <w:pPr>
              <w:spacing w:after="0"/>
              <w:rPr>
                <w:sz w:val="16"/>
                <w:szCs w:val="16"/>
                <w:color w:val="auto"/>
              </w:rPr>
            </w:pPr>
          </w:p>
        </w:tc>
        <w:tc>
          <w:tcPr>
            <w:tcW w:w="116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Expiration</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Mar. 31,</w:t>
            </w: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9"/>
              </w:rPr>
              <w:t>Dec. 31,</w:t>
            </w:r>
          </w:p>
        </w:tc>
        <w:tc>
          <w:tcPr>
            <w:tcW w:w="100" w:type="dxa"/>
            <w:vAlign w:val="bottom"/>
          </w:tcPr>
          <w:p>
            <w:pPr>
              <w:spacing w:after="0"/>
              <w:rPr>
                <w:sz w:val="16"/>
                <w:szCs w:val="16"/>
                <w:color w:val="auto"/>
              </w:rPr>
            </w:pPr>
          </w:p>
        </w:tc>
      </w:tr>
      <w:tr>
        <w:trPr>
          <w:trHeight w:val="207"/>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Facility</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Issue Date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18"/>
                <w:szCs w:val="18"/>
                <w:color w:val="auto"/>
              </w:rPr>
            </w:pPr>
          </w:p>
        </w:tc>
        <w:tc>
          <w:tcPr>
            <w:tcW w:w="1340" w:type="dxa"/>
            <w:vAlign w:val="bottom"/>
            <w:gridSpan w:val="3"/>
          </w:tcPr>
          <w:p>
            <w:pPr>
              <w:jc w:val="center"/>
              <w:ind w:right="227"/>
              <w:spacing w:after="0"/>
              <w:rPr>
                <w:sz w:val="20"/>
                <w:szCs w:val="20"/>
                <w:color w:val="auto"/>
              </w:rPr>
            </w:pPr>
            <w:r>
              <w:rPr>
                <w:rFonts w:ascii="Arial" w:cs="Arial" w:eastAsia="Arial" w:hAnsi="Arial"/>
                <w:sz w:val="18"/>
                <w:szCs w:val="18"/>
                <w:b w:val="1"/>
                <w:bCs w:val="1"/>
                <w:color w:val="auto"/>
                <w:w w:val="92"/>
              </w:rPr>
              <w:t>Date</w:t>
            </w: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Mt. Laurel, NJ</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3/29/2010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4/30/2024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4/30/2031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7"/>
                <w:szCs w:val="17"/>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10/27/2010</w:t>
            </w:r>
          </w:p>
        </w:tc>
        <w:tc>
          <w:tcPr>
            <w:tcW w:w="1080" w:type="dxa"/>
            <w:vAlign w:val="bottom"/>
          </w:tcPr>
          <w:p>
            <w:pPr>
              <w:jc w:val="right"/>
              <w:spacing w:after="0"/>
              <w:rPr>
                <w:sz w:val="20"/>
                <w:szCs w:val="20"/>
                <w:color w:val="auto"/>
              </w:rPr>
            </w:pPr>
            <w:r>
              <w:rPr>
                <w:rFonts w:ascii="Arial" w:cs="Arial" w:eastAsia="Arial" w:hAnsi="Arial"/>
                <w:sz w:val="18"/>
                <w:szCs w:val="18"/>
                <w:color w:val="auto"/>
              </w:rPr>
              <w:t>12/31/2024</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12/31/2024</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49"/>
        </w:trPr>
        <w:tc>
          <w:tcPr>
            <w:tcW w:w="58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52"/>
        <w:spacing w:after="0"/>
        <w:rPr>
          <w:sz w:val="20"/>
          <w:szCs w:val="20"/>
          <w:color w:val="auto"/>
        </w:rPr>
      </w:pPr>
      <w:r>
        <w:rPr>
          <w:rFonts w:ascii="Arial" w:cs="Arial" w:eastAsia="Arial" w:hAnsi="Arial"/>
          <w:sz w:val="18"/>
          <w:szCs w:val="18"/>
          <w:b w:val="1"/>
          <w:bCs w:val="1"/>
          <w:i w:val="1"/>
          <w:iCs w:val="1"/>
          <w:u w:val="single" w:color="auto"/>
          <w:color w:val="auto"/>
        </w:rPr>
        <w:t>Credit Facility</w:t>
      </w:r>
    </w:p>
    <w:p>
      <w:pPr>
        <w:spacing w:after="0" w:line="225" w:lineRule="exact"/>
        <w:rPr>
          <w:sz w:val="20"/>
          <w:szCs w:val="20"/>
          <w:color w:val="auto"/>
        </w:rPr>
      </w:pPr>
    </w:p>
    <w:p>
      <w:pPr>
        <w:ind w:left="652" w:right="80"/>
        <w:spacing w:after="0" w:line="259" w:lineRule="auto"/>
        <w:rPr>
          <w:sz w:val="20"/>
          <w:szCs w:val="20"/>
          <w:color w:val="auto"/>
        </w:rPr>
      </w:pPr>
      <w:r>
        <w:rPr>
          <w:rFonts w:ascii="Arial" w:cs="Arial" w:eastAsia="Arial" w:hAnsi="Arial"/>
          <w:sz w:val="18"/>
          <w:szCs w:val="18"/>
          <w:color w:val="auto"/>
        </w:rPr>
        <w:t>On October 15, 2021 (the “Closing Date”), we entered into an Amended and Restated Loan and Security Agreement with M&amp;T Bank (“M&amp;T”) which, on October 28, 2021, was amended by the Joinder and Amendment to Amended and Restated Loan and Security Agreement and which, on December 30, 2021, was further amended by the Joinder and Second Amendment to Amended and Restated Loan and Security Agreement (as amended, the “Loan Agreement”).</w:t>
      </w:r>
    </w:p>
    <w:p>
      <w:pPr>
        <w:spacing w:after="0" w:line="187" w:lineRule="exact"/>
        <w:rPr>
          <w:sz w:val="20"/>
          <w:szCs w:val="20"/>
          <w:color w:val="auto"/>
        </w:rPr>
      </w:pPr>
    </w:p>
    <w:p>
      <w:pPr>
        <w:ind w:left="652" w:right="100"/>
        <w:spacing w:after="0" w:line="286" w:lineRule="auto"/>
        <w:rPr>
          <w:sz w:val="20"/>
          <w:szCs w:val="20"/>
          <w:color w:val="auto"/>
        </w:rPr>
      </w:pPr>
      <w:r>
        <w:rPr>
          <w:rFonts w:ascii="Arial" w:cs="Arial" w:eastAsia="Arial" w:hAnsi="Arial"/>
          <w:sz w:val="17"/>
          <w:szCs w:val="17"/>
          <w:color w:val="auto"/>
        </w:rPr>
        <w:t>The Loan Agreement included a $25,000 non-revolving delayed draw term note (the “Term Note”) and a $10,000 revolving credit facility (the “Revolving Facility” and together with the Term Note, the “Credit Facility”). The Credit Facility had a five-year contract period that began on the Closing Date and expired on October 15, 2026, and draws under the Term Note were permissible for two years.</w:t>
      </w:r>
    </w:p>
    <w:p>
      <w:pPr>
        <w:spacing w:after="0" w:line="165" w:lineRule="exact"/>
        <w:rPr>
          <w:sz w:val="20"/>
          <w:szCs w:val="20"/>
          <w:color w:val="auto"/>
        </w:rPr>
      </w:pPr>
    </w:p>
    <w:p>
      <w:pPr>
        <w:ind w:left="652" w:right="100"/>
        <w:spacing w:after="0" w:line="272" w:lineRule="auto"/>
        <w:rPr>
          <w:sz w:val="20"/>
          <w:szCs w:val="20"/>
          <w:color w:val="auto"/>
        </w:rPr>
      </w:pPr>
      <w:r>
        <w:rPr>
          <w:rFonts w:ascii="Arial" w:cs="Arial" w:eastAsia="Arial" w:hAnsi="Arial"/>
          <w:sz w:val="17"/>
          <w:szCs w:val="17"/>
          <w:color w:val="auto"/>
        </w:rPr>
        <w:t>On September 20, 2022, we further amended the Loan Agreement by entering into a Third Amendment to Amended and Restated Loan and Security Agreement (the Loan Agreement, as amended by the Third Amendment, the “Amended Loan Agreement”) and the Third Amended and Restated Delayed Draw Term Note. Under the Amended Loan Agreement, the maximum loan amount that we may borrow under the Term Note increased from $25,000 to $50,500, which raises the available funding at March 31, 2023 to $30,000. Under the Amended Loan Agreement, the maturity date of the Term Note and Revolving Facility were also extended to September 19, 2027 (the “Contract Period”). At March 31, 2023, we had not borrowed any amounts under the $10 million Revolving Facility. Our borrowings under the Term Note are discussed below and occurred prior to entering into the Amended Loan Agreement.</w:t>
      </w:r>
    </w:p>
    <w:p>
      <w:pPr>
        <w:spacing w:after="0" w:line="177" w:lineRule="exact"/>
        <w:rPr>
          <w:sz w:val="20"/>
          <w:szCs w:val="20"/>
          <w:color w:val="auto"/>
        </w:rPr>
      </w:pPr>
    </w:p>
    <w:p>
      <w:pPr>
        <w:ind w:left="652" w:right="100"/>
        <w:spacing w:after="0" w:line="271" w:lineRule="auto"/>
        <w:rPr>
          <w:sz w:val="20"/>
          <w:szCs w:val="20"/>
          <w:color w:val="auto"/>
        </w:rPr>
      </w:pPr>
      <w:r>
        <w:rPr>
          <w:rFonts w:ascii="Arial" w:cs="Arial" w:eastAsia="Arial" w:hAnsi="Arial"/>
          <w:sz w:val="17"/>
          <w:szCs w:val="17"/>
          <w:color w:val="auto"/>
        </w:rPr>
        <w:t>The principal balance of the Revolving Facility and the principal balance of any amount drawn under the Term Note accrues interest based on the secured overnight financing rate for U.S. government securities (“SOFR”) or a bank-defined base rate plus an applicable margin, depending on leverage. Each draw under the Term Note will have an option for us of either (i) up to a five year amortizing term loan with a balloon due at maturity, or (ii) up to a five year term with up to seven years amortization with a balloon due at maturity. Any amortization greater than five years will be subject to an excess cash flow recapture. The Amended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 Interest expense for the three months ended March 31, 2023 and 2022 was $182 and $137, respectively</w:t>
      </w:r>
    </w:p>
    <w:p>
      <w:pPr>
        <w:spacing w:after="0" w:line="178" w:lineRule="exact"/>
        <w:rPr>
          <w:sz w:val="20"/>
          <w:szCs w:val="20"/>
          <w:color w:val="auto"/>
        </w:rPr>
      </w:pPr>
    </w:p>
    <w:p>
      <w:pPr>
        <w:ind w:left="652" w:right="20"/>
        <w:spacing w:after="0" w:line="272" w:lineRule="auto"/>
        <w:rPr>
          <w:sz w:val="20"/>
          <w:szCs w:val="20"/>
          <w:color w:val="auto"/>
        </w:rPr>
      </w:pPr>
      <w:r>
        <w:rPr>
          <w:rFonts w:ascii="Arial" w:cs="Arial" w:eastAsia="Arial" w:hAnsi="Arial"/>
          <w:sz w:val="17"/>
          <w:szCs w:val="17"/>
          <w:color w:val="auto"/>
        </w:rPr>
        <w:t>The Amended Loan Agreement contains customary default provisions, including but not limited to the failure by us to repay obligations when due, violation of provisions or representations provided in the Amended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Amended Loan Agreement includes customary affirmative, negative and financial covenants, including a maximum ratio of consolidated funded debt to consolidated EBITDA and a fixed charge coverage ratio. Our obligations under the Amended Loan Agreement are secured by liens on substantially all of our tangible and intangible assets that are owned as of the Closing Date or acquired thereafter.</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11" w:right="339" w:bottom="1440" w:gutter="0" w:footer="0" w:header="0"/>
        </w:sectPr>
      </w:pPr>
    </w:p>
    <w:bookmarkStart w:id="19" w:name="page20"/>
    <w:bookmarkEnd w:id="19"/>
    <w:p>
      <w:pPr>
        <w:ind w:left="660" w:right="180"/>
        <w:spacing w:after="0" w:line="259" w:lineRule="auto"/>
        <w:rPr>
          <w:sz w:val="20"/>
          <w:szCs w:val="20"/>
          <w:color w:val="auto"/>
        </w:rPr>
      </w:pPr>
      <w:r>
        <w:rPr>
          <w:rFonts w:ascii="Arial" w:cs="Arial" w:eastAsia="Arial" w:hAnsi="Arial"/>
          <w:sz w:val="18"/>
          <w:szCs w:val="18"/>
          <w:color w:val="auto"/>
        </w:rPr>
        <w:t>On October 28, 2021, we drew $12,000 under the Term Note to finance the acquisition of Videology as discussed above. We also entered into an interest rate swap agreement with M&amp;T as of this date which is designed to protect us against fluctuations in interest rates during the five year repayment and amortization period. As a result, the annual interest rate we expect to pay for this draw under the Term Note is fixed at approximately 3.2% based on current leverage.</w:t>
      </w:r>
    </w:p>
    <w:p>
      <w:pPr>
        <w:spacing w:after="0" w:line="187"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On December 29, 2021, we drew $8,500 under the Term Note to finance the acquisition of Acculogic as discussed above. We did not enter into an interest rate swap agreement with M&amp;T related to this draw. The annual interest rate we expect to pay for this draw under the Term Note is variable. At March 31, 2023, it was approximately 6.7% based on current leverage. Effective May 1, 2023, this rate had increased to approximately 6.9%.</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w w:val="99"/>
              </w:rPr>
              <w:t>The following table sets forth the maturities of long-term debt for each of the next five years: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 (remainder)</w:t>
            </w:r>
          </w:p>
        </w:tc>
        <w:tc>
          <w:tcPr>
            <w:tcW w:w="1140" w:type="dxa"/>
            <w:vAlign w:val="bottom"/>
            <w:gridSpan w:val="2"/>
            <w:shd w:val="clear" w:color="auto" w:fill="CCEEFF"/>
          </w:tcPr>
          <w:p>
            <w:pPr>
              <w:jc w:val="right"/>
              <w:ind w:right="40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0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2026</w:t>
            </w:r>
          </w:p>
        </w:tc>
        <w:tc>
          <w:tcPr>
            <w:tcW w:w="5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18"/>
                <w:szCs w:val="18"/>
                <w:color w:val="auto"/>
              </w:rPr>
            </w:pPr>
          </w:p>
        </w:tc>
      </w:tr>
      <w:tr>
        <w:trPr>
          <w:trHeight w:val="249"/>
        </w:trPr>
        <w:tc>
          <w:tcPr>
            <w:tcW w:w="48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w:t>
      </w:r>
    </w:p>
    <w:p>
      <w:pPr>
        <w:spacing w:after="0" w:line="229" w:lineRule="exact"/>
        <w:rPr>
          <w:rFonts w:ascii="Arial" w:cs="Arial" w:eastAsia="Arial" w:hAnsi="Arial"/>
          <w:sz w:val="18"/>
          <w:szCs w:val="18"/>
          <w:b w:val="1"/>
          <w:bCs w:val="1"/>
          <w:color w:val="auto"/>
        </w:rPr>
      </w:pPr>
    </w:p>
    <w:p>
      <w:pPr>
        <w:ind w:left="660" w:right="7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As of March 31, 2023, we had unvested restricted stock awards and stock options granted under stock-based compensation plans that are described more fully in Note 15 to the consolidated financial statements in our 2022 Form 10-K.</w:t>
      </w:r>
    </w:p>
    <w:p>
      <w:pPr>
        <w:spacing w:after="0" w:line="146" w:lineRule="exact"/>
        <w:rPr>
          <w:rFonts w:ascii="Arial" w:cs="Arial" w:eastAsia="Arial" w:hAnsi="Arial"/>
          <w:sz w:val="18"/>
          <w:szCs w:val="18"/>
          <w:b w:val="1"/>
          <w:bCs w:val="1"/>
          <w:color w:val="auto"/>
        </w:rPr>
      </w:pPr>
    </w:p>
    <w:p>
      <w:pPr>
        <w:ind w:left="660" w:right="4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Our unvested restricted stock awards and stock options are accounted for based on their grant date fair value. As of March 31, 2023, total compensation expense to be recognized in future periods was $4,537. The weighted average period over which this expense is expected to be recognized was 2.3 years.</w:t>
      </w:r>
    </w:p>
    <w:p>
      <w:pPr>
        <w:spacing w:after="0" w:line="183" w:lineRule="exact"/>
        <w:rPr>
          <w:rFonts w:ascii="Arial" w:cs="Arial" w:eastAsia="Arial" w:hAnsi="Arial"/>
          <w:sz w:val="18"/>
          <w:szCs w:val="18"/>
          <w:b w:val="1"/>
          <w:bCs w:val="1"/>
          <w:color w:val="auto"/>
        </w:rPr>
      </w:pPr>
    </w:p>
    <w:p>
      <w:pPr>
        <w:ind w:left="6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compensation expense we recorded during the three months ended March 31, 2023 and 2022 related to unvested shares of restricted stock and stock options: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820" w:type="dxa"/>
            <w:vAlign w:val="bottom"/>
            <w:gridSpan w:val="5"/>
          </w:tcPr>
          <w:p>
            <w:pPr>
              <w:jc w:val="right"/>
              <w:ind w:right="307"/>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Selling expense</w:t>
            </w:r>
          </w:p>
        </w:tc>
        <w:tc>
          <w:tcPr>
            <w:tcW w:w="10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r>
      <w:tr>
        <w:trPr>
          <w:trHeight w:val="230"/>
        </w:trPr>
        <w:tc>
          <w:tcPr>
            <w:tcW w:w="5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compensation expense capitalized in three months ended March 31, 2023 or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jc w:val="both"/>
        <w:ind w:left="660" w:right="260"/>
        <w:spacing w:after="0" w:line="263"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for stock options granted during the three months ended March 31, 2023 and 2022 was estimated at the date of grant using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Black-Scholes option pricing model with the following weighted average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1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1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10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c>
          <w:tcPr>
            <w:tcW w:w="1100" w:type="dxa"/>
            <w:vAlign w:val="bottom"/>
          </w:tcPr>
          <w:p>
            <w:pPr>
              <w:spacing w:after="0"/>
              <w:rPr>
                <w:sz w:val="20"/>
                <w:szCs w:val="20"/>
                <w:color w:val="auto"/>
              </w:rPr>
            </w:pPr>
          </w:p>
        </w:tc>
      </w:tr>
      <w:tr>
        <w:trPr>
          <w:trHeight w:val="418"/>
        </w:trPr>
        <w:tc>
          <w:tcPr>
            <w:tcW w:w="1140" w:type="dxa"/>
            <w:vAlign w:val="bottom"/>
          </w:tcPr>
          <w:p>
            <w:pPr>
              <w:spacing w:after="0"/>
              <w:rPr>
                <w:sz w:val="24"/>
                <w:szCs w:val="24"/>
                <w:color w:val="auto"/>
              </w:rPr>
            </w:pPr>
          </w:p>
        </w:tc>
        <w:tc>
          <w:tcPr>
            <w:tcW w:w="5580" w:type="dxa"/>
            <w:vAlign w:val="bottom"/>
          </w:tcPr>
          <w:p>
            <w:pPr>
              <w:ind w:left="4320"/>
              <w:spacing w:after="0"/>
              <w:rPr>
                <w:sz w:val="20"/>
                <w:szCs w:val="20"/>
                <w:color w:val="auto"/>
              </w:rPr>
            </w:pPr>
            <w:r>
              <w:rPr>
                <w:rFonts w:ascii="Arial" w:cs="Arial" w:eastAsia="Arial" w:hAnsi="Arial"/>
                <w:sz w:val="18"/>
                <w:szCs w:val="18"/>
                <w:color w:val="auto"/>
              </w:rPr>
              <w:t>- 18-</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20" w:name="page21"/>
    <w:bookmarkEnd w:id="20"/>
    <w:p>
      <w:pPr>
        <w:ind w:right="180"/>
        <w:spacing w:after="0" w:line="277" w:lineRule="auto"/>
        <w:rPr>
          <w:sz w:val="20"/>
          <w:szCs w:val="20"/>
          <w:color w:val="auto"/>
        </w:rPr>
      </w:pPr>
      <w:r>
        <w:rPr>
          <w:rFonts w:ascii="Arial" w:cs="Arial" w:eastAsia="Arial" w:hAnsi="Arial"/>
          <w:sz w:val="18"/>
          <w:szCs w:val="18"/>
          <w:color w:val="auto"/>
        </w:rPr>
        <w:t>The per share weighted average fair value of stock options issued during the three months ended March 31, 2023 and 2022 was $9.32 and $5.19,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stock options for the three months ended March 31, 2023:</w:t>
      </w:r>
    </w:p>
    <w:p>
      <w:pPr>
        <w:sectPr>
          <w:pgSz w:w="11900" w:h="16838" w:orient="portrait"/>
          <w:cols w:equalWidth="0" w:num="1">
            <w:col w:w="10580"/>
          </w:cols>
          <w:pgMar w:left="98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Options outstanding, January 1, 2023 (167,886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-107315</wp:posOffset>
            </wp:positionV>
            <wp:extent cx="57092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9285" cy="13716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5715</wp:posOffset>
            </wp:positionV>
            <wp:extent cx="57092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9285" cy="13716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570928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9285" cy="163195"/>
                    </a:xfrm>
                    <a:prstGeom prst="rect">
                      <a:avLst/>
                    </a:prstGeom>
                    <a:noFill/>
                  </pic:spPr>
                </pic:pic>
              </a:graphicData>
            </a:graphic>
          </wp:anchor>
        </w:drawing>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Options outstanding, March 31, 2023 (185,246 exercisable)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6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16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of Shares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Exercise Price</w:t>
            </w:r>
          </w:p>
        </w:tc>
      </w:tr>
      <w:tr>
        <w:trPr>
          <w:trHeight w:val="195"/>
        </w:trPr>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580,419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8.91</w:t>
            </w:r>
          </w:p>
        </w:tc>
      </w:tr>
      <w:tr>
        <w:trPr>
          <w:trHeight w:val="216"/>
        </w:trPr>
        <w:tc>
          <w:tcPr>
            <w:tcW w:w="1520" w:type="dxa"/>
            <w:vAlign w:val="bottom"/>
          </w:tcPr>
          <w:p>
            <w:pPr>
              <w:jc w:val="right"/>
              <w:spacing w:after="0"/>
              <w:rPr>
                <w:sz w:val="20"/>
                <w:szCs w:val="20"/>
                <w:color w:val="auto"/>
              </w:rPr>
            </w:pPr>
            <w:r>
              <w:rPr>
                <w:rFonts w:ascii="Arial" w:cs="Arial" w:eastAsia="Arial" w:hAnsi="Arial"/>
                <w:sz w:val="18"/>
                <w:szCs w:val="18"/>
                <w:color w:val="auto"/>
              </w:rPr>
              <w:t>90,392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16"/>
        </w:trPr>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(25,200)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30"/>
        </w:trPr>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(23,859)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10"/>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621,752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5420" w:space="720"/>
            <w:col w:w="4440"/>
          </w:cols>
          <w:pgMar w:left="980" w:top="611" w:right="339" w:bottom="1440" w:gutter="0" w:footer="0" w:header="0"/>
          <w:type w:val="continuous"/>
        </w:sectPr>
      </w:pPr>
    </w:p>
    <w:p>
      <w:pPr>
        <w:spacing w:after="0" w:line="25"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August 2020, we have increasingly granted performance-based restricted stock awards where the ultimate number of shares that vest can vary between 0% and 150% of the amount of the original award and is based on the achievement of specified performance metrics. Vesting for these awards is generally cliff vesting at the end of the period over which the performance metrics are measured. Compensation expense for these awards is recorded on a straight-line basis over the vesting period and is based on the expected final vesting percentage, which is re-assessed at the end of each reporting period and adjusted with a catch-up adjustment, as needed. Our initial assumption at the grant date of these awards is that the award will vest at the 100% level.</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August 24, 2020, our new President and Chief Executive Officer ("CEO") received two restricted stock awards totaling 141,610 shares valued at $650 as of the date of grant, which was also his hire date. Of the total shares awarded, 66,448 shares vest over 4 years (25% at each anniversary) and 75,162 shares vest on the third anniversary of the grant date at a vesting percentage that could range from 0% to 150% of the number of shares awarded on August 24, 2020. The final vesting percentage will be based on the achievement of certain performance metrics, including revenue compound annual growth rate and diluted earnings per share excluding amortization of intangibles, for specified time periods as determined by the Compensation Committee of our Board of Directors. At March 31, 2023, we have estimated that these shares will vest at 150% of the original amount based on our assessment of the probable achievement against the relevant performance metrics.</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March 10, 2021, we issued restricted stock awards totaling 18,000 shares to members of senior management within our operating segments. These shares will vest on the third anniversary of the grant date at a vesting percentage that could range from 0% to 150% of the number of shares awarded on March 10, 2021. The final vesting percentage will be based on the achievement of certain performance metrics related to the operating results of the business units for which these members of management are responsible. At March 31, 2023, we have estimated that 12,000 of these shares will vest at 100% of the original amount. The remaining 6,000 shares were not expected to vest and, in fact, were forfeited during the first quarter of 2023 when the individual to whom they had been granted resigned from his position with us.</w:t>
      </w:r>
    </w:p>
    <w:p>
      <w:pPr>
        <w:spacing w:after="0" w:line="16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June 14, 2021, our new CFO received two restricted stock awards totaling 7,941 shares valued at $133 as of the date of grant, which was also his hire date. Of the total shares awarded, 1,988 shares vest over 4 years (25% at each anniversary) and 5,953 shares vest on August 24, 2023 at a vesting percentage that could range from 0% to 150% of the number of shares awarded on June 14, 2021. The final vesting percentage will be based on the achievement of certain performance metrics, including revenue compound annual growth rate and diluted earnings per share excluding amortization of intangibles, for specified time periods as determined by the Compensation Committee of our Board of Directors. At March 31, 2023, we have estimated that these shares will vest at 150% of the original amount based on our assessment of the probable achievement against the relevant performance metrics.</w:t>
      </w:r>
    </w:p>
    <w:p>
      <w:pPr>
        <w:spacing w:after="0" w:line="17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11" w:right="339" w:bottom="1440" w:gutter="0" w:footer="0" w:header="0"/>
          <w:type w:val="continuous"/>
        </w:sectPr>
      </w:pPr>
    </w:p>
    <w:bookmarkStart w:id="21" w:name="page22"/>
    <w:bookmarkEnd w:id="21"/>
    <w:p>
      <w:pPr>
        <w:ind w:left="652"/>
        <w:spacing w:after="0" w:line="257" w:lineRule="auto"/>
        <w:rPr>
          <w:sz w:val="20"/>
          <w:szCs w:val="20"/>
          <w:color w:val="auto"/>
        </w:rPr>
      </w:pPr>
      <w:r>
        <w:rPr>
          <w:rFonts w:ascii="Arial" w:cs="Arial" w:eastAsia="Arial" w:hAnsi="Arial"/>
          <w:sz w:val="18"/>
          <w:szCs w:val="18"/>
          <w:color w:val="auto"/>
        </w:rPr>
        <w:t>On October 1, 2021, we issued restricted stock awards totaling 5,000 shares to a member of senior management. These shares will vest on January 1, 2025 at a vesting percentage that could range from 0% to 150% of the number of shares awarded on October 1, 2021. The final vesting percentage will be based on the achievement of certain performance metrics related to our consolidated operating results. At March 31, 2023, we have estimated that these shares will vest at 100% of the original amount based on our assessment of the probable achievement against the relevant performance metrics.</w:t>
      </w:r>
    </w:p>
    <w:p>
      <w:pPr>
        <w:spacing w:after="0" w:line="188" w:lineRule="exact"/>
        <w:rPr>
          <w:sz w:val="20"/>
          <w:szCs w:val="20"/>
          <w:color w:val="auto"/>
        </w:rPr>
      </w:pPr>
    </w:p>
    <w:p>
      <w:pPr>
        <w:ind w:left="652" w:right="80"/>
        <w:spacing w:after="0" w:line="273" w:lineRule="auto"/>
        <w:rPr>
          <w:sz w:val="20"/>
          <w:szCs w:val="20"/>
          <w:color w:val="auto"/>
        </w:rPr>
      </w:pPr>
      <w:r>
        <w:rPr>
          <w:rFonts w:ascii="Arial" w:cs="Arial" w:eastAsia="Arial" w:hAnsi="Arial"/>
          <w:sz w:val="17"/>
          <w:szCs w:val="17"/>
          <w:color w:val="auto"/>
        </w:rPr>
        <w:t>On March 9, 2022, our CEO and CFO received restricted stock awards totaling 20,493 shares valued at $200 as of the date of grant. These shares vest on the third anniversary of the grant date at a vesting percentage that could range from 0% to 150% of the number of shares awarded on March 9, 2022. The final vesting percentage will be based on the achievement of certain performance metrics, including revenue compound annual growth rate and diluted earnings per share excluding amortization of intangibles, for specified time periods as determined by the Compensation Committee of our Board of Directors. At March 31, 2023, we have estimated that these shares will vest at 100% of the original amount based on our assessment of the probable achievement against the relevant performance metrics.</w:t>
      </w:r>
    </w:p>
    <w:p>
      <w:pPr>
        <w:spacing w:after="0" w:line="178" w:lineRule="exact"/>
        <w:rPr>
          <w:sz w:val="20"/>
          <w:szCs w:val="20"/>
          <w:color w:val="auto"/>
        </w:rPr>
      </w:pPr>
    </w:p>
    <w:p>
      <w:pPr>
        <w:ind w:left="652" w:right="120"/>
        <w:spacing w:after="0" w:line="273" w:lineRule="auto"/>
        <w:rPr>
          <w:sz w:val="20"/>
          <w:szCs w:val="20"/>
          <w:color w:val="auto"/>
        </w:rPr>
      </w:pPr>
      <w:r>
        <w:rPr>
          <w:rFonts w:ascii="Arial" w:cs="Arial" w:eastAsia="Arial" w:hAnsi="Arial"/>
          <w:sz w:val="17"/>
          <w:szCs w:val="17"/>
          <w:color w:val="auto"/>
        </w:rPr>
        <w:t>On March 8, 2023, our CEO, CFO and the Division Presidents of two of our operating segments received restricted stock awards totaling 18,888 shares valued at $303 as of the date of grant. These shares vest on the third anniversary of the grant date at a vesting percentage that could range from 0% to 150% of the number of shares awarded on March 8, 2023. The final vesting percentage will be based on the achievement of certain performance metrics related to revenue for the year ending December 31, 2025 as determined by the Compensation Committee of our Board of Directors. At March 31, 2023, we have estimated that these shares will vest at 100% of the original amount based on our assessment of the probable achievement against the relevant performance metrics.</w:t>
      </w:r>
    </w:p>
    <w:p>
      <w:pPr>
        <w:spacing w:after="0" w:line="17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following table summarizes the activity related to unvested restricted stock awards for the three months ended March 31, 2023:</w:t>
      </w:r>
    </w:p>
    <w:p>
      <w:pPr>
        <w:sectPr>
          <w:pgSz w:w="11900" w:h="16838" w:orient="portrait"/>
          <w:cols w:equalWidth="0" w:num="1">
            <w:col w:w="11192"/>
          </w:cols>
          <w:pgMar w:left="328" w:top="61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32"/>
        <w:spacing w:after="0"/>
        <w:rPr>
          <w:sz w:val="20"/>
          <w:szCs w:val="20"/>
          <w:color w:val="auto"/>
        </w:rPr>
      </w:pPr>
      <w:r>
        <w:rPr>
          <w:rFonts w:ascii="Arial" w:cs="Arial" w:eastAsia="Arial" w:hAnsi="Arial"/>
          <w:sz w:val="15"/>
          <w:szCs w:val="15"/>
          <w:color w:val="auto"/>
        </w:rPr>
        <w:t>Unvested shares outstanding, January 1, 2023</w:t>
      </w:r>
    </w:p>
    <w:p>
      <w:pPr>
        <w:spacing w:after="0" w:line="58"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Forfeited</w:t>
      </w:r>
    </w:p>
    <w:p>
      <w:pPr>
        <w:spacing w:after="0" w:line="49" w:lineRule="exact"/>
        <w:rPr>
          <w:sz w:val="20"/>
          <w:szCs w:val="20"/>
          <w:color w:val="auto"/>
        </w:rPr>
      </w:pPr>
    </w:p>
    <w:p>
      <w:pPr>
        <w:ind w:left="1132"/>
        <w:spacing w:after="0"/>
        <w:rPr>
          <w:sz w:val="20"/>
          <w:szCs w:val="20"/>
          <w:color w:val="auto"/>
        </w:rPr>
      </w:pPr>
      <w:r>
        <w:rPr>
          <w:rFonts w:ascii="Arial" w:cs="Arial" w:eastAsia="Arial" w:hAnsi="Arial"/>
          <w:sz w:val="16"/>
          <w:szCs w:val="16"/>
          <w:color w:val="auto"/>
        </w:rPr>
        <w:t>Unvested shares outstanding, March 31, 2023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6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6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of Shares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195"/>
        </w:trPr>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288,450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7.80</w:t>
            </w:r>
          </w:p>
        </w:tc>
      </w:tr>
      <w:tr>
        <w:trPr>
          <w:trHeight w:val="216"/>
        </w:trPr>
        <w:tc>
          <w:tcPr>
            <w:tcW w:w="1520" w:type="dxa"/>
            <w:vAlign w:val="bottom"/>
          </w:tcPr>
          <w:p>
            <w:pPr>
              <w:jc w:val="right"/>
              <w:spacing w:after="0"/>
              <w:rPr>
                <w:sz w:val="20"/>
                <w:szCs w:val="20"/>
                <w:color w:val="auto"/>
              </w:rPr>
            </w:pPr>
            <w:r>
              <w:rPr>
                <w:rFonts w:ascii="Arial" w:cs="Arial" w:eastAsia="Arial" w:hAnsi="Arial"/>
                <w:sz w:val="18"/>
                <w:szCs w:val="18"/>
                <w:color w:val="auto"/>
              </w:rPr>
              <w:t>90,588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16"/>
        </w:trPr>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(21,066)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30"/>
        </w:trPr>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(13,271)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10"/>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344,701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9.71</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-3592195</wp:posOffset>
            </wp:positionH>
            <wp:positionV relativeFrom="paragraph">
              <wp:posOffset>-719455</wp:posOffset>
            </wp:positionV>
            <wp:extent cx="57092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9285" cy="137160"/>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-445135</wp:posOffset>
            </wp:positionV>
            <wp:extent cx="57092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9285" cy="137160"/>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-161925</wp:posOffset>
            </wp:positionV>
            <wp:extent cx="570928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928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72" w:space="720"/>
            <w:col w:w="4400"/>
          </w:cols>
          <w:pgMar w:left="328" w:top="611" w:right="379" w:bottom="1440" w:gutter="0" w:footer="0" w:header="0"/>
          <w:type w:val="continuous"/>
        </w:sectPr>
      </w:pPr>
    </w:p>
    <w:p>
      <w:pPr>
        <w:spacing w:after="0" w:line="2" w:lineRule="exact"/>
        <w:rPr>
          <w:sz w:val="20"/>
          <w:szCs w:val="20"/>
          <w:color w:val="auto"/>
        </w:rPr>
      </w:pPr>
    </w:p>
    <w:p>
      <w:pPr>
        <w:ind w:left="652" w:right="580"/>
        <w:spacing w:after="0" w:line="277" w:lineRule="auto"/>
        <w:rPr>
          <w:sz w:val="20"/>
          <w:szCs w:val="20"/>
          <w:color w:val="auto"/>
        </w:rPr>
      </w:pPr>
      <w:r>
        <w:rPr>
          <w:rFonts w:ascii="Arial" w:cs="Arial" w:eastAsia="Arial" w:hAnsi="Arial"/>
          <w:sz w:val="18"/>
          <w:szCs w:val="18"/>
          <w:color w:val="auto"/>
        </w:rPr>
        <w:t>The total fair value of the restricted stock awards that vested during the three months ended March 31, 2023 and 2022 was $381 and $188, respectively, as of the vesting dates of these awards.</w:t>
      </w:r>
    </w:p>
    <w:p>
      <w:pPr>
        <w:spacing w:after="0" w:line="193" w:lineRule="exact"/>
        <w:rPr>
          <w:sz w:val="20"/>
          <w:szCs w:val="20"/>
          <w:color w:val="auto"/>
        </w:rPr>
      </w:pPr>
    </w:p>
    <w:p>
      <w:pPr>
        <w:ind w:left="652" w:hanging="652"/>
        <w:spacing w:after="0"/>
        <w:tabs>
          <w:tab w:leader="none" w:pos="6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229" w:lineRule="exact"/>
        <w:rPr>
          <w:rFonts w:ascii="Arial" w:cs="Arial" w:eastAsia="Arial" w:hAnsi="Arial"/>
          <w:sz w:val="18"/>
          <w:szCs w:val="18"/>
          <w:b w:val="1"/>
          <w:bCs w:val="1"/>
          <w:color w:val="auto"/>
        </w:rPr>
      </w:pPr>
    </w:p>
    <w:p>
      <w:pPr>
        <w:ind w:left="652"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inTEST Corporation Employee Stock Purchase Plan (the “ESPP”) was adopted by the Board in April 2021 subject to approval by our stockholders, which occurred on June 23, 2021 at our Annual Meeting of Stockholders. The ESPP provides our eligible employees with an opportunity to purchase common stock through accumulated payroll deductions at a discounted purchase price. The ESPP became effective on October 1, 2021.</w:t>
      </w:r>
    </w:p>
    <w:p>
      <w:pPr>
        <w:spacing w:after="0" w:line="186" w:lineRule="exact"/>
        <w:rPr>
          <w:rFonts w:ascii="Arial" w:cs="Arial" w:eastAsia="Arial" w:hAnsi="Arial"/>
          <w:sz w:val="18"/>
          <w:szCs w:val="18"/>
          <w:b w:val="1"/>
          <w:bCs w:val="1"/>
          <w:color w:val="auto"/>
        </w:rPr>
      </w:pPr>
    </w:p>
    <w:p>
      <w:pPr>
        <w:ind w:left="652"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spacing w:after="0" w:line="183" w:lineRule="exact"/>
        <w:rPr>
          <w:rFonts w:ascii="Arial" w:cs="Arial" w:eastAsia="Arial" w:hAnsi="Arial"/>
          <w:sz w:val="18"/>
          <w:szCs w:val="18"/>
          <w:b w:val="1"/>
          <w:bCs w:val="1"/>
          <w:color w:val="auto"/>
        </w:rPr>
      </w:pPr>
    </w:p>
    <w:p>
      <w:pPr>
        <w:ind w:left="652"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 March 31, 2023, employees purchased 2,292 shares of our stock through the ESPP at a cost of $40. The closing market price on the date of the purchase was $20.74. The price paid by employees was $17.63 which represented a 15% discount. The total amount of the discount of $8 was recorded as compensation expense in our consolidated statements of operations. From the effective date of the ESPP through March 31, 2023, a total of 33,445 shares of stock have been purchased by employees through the ESPP at a cost of $281. We have recorded a total of $49 of compensation expense in our consolidated statements of operations related to these shares.</w:t>
      </w:r>
    </w:p>
    <w:p>
      <w:pPr>
        <w:spacing w:after="0" w:line="199" w:lineRule="exact"/>
        <w:rPr>
          <w:rFonts w:ascii="Arial" w:cs="Arial" w:eastAsia="Arial" w:hAnsi="Arial"/>
          <w:sz w:val="18"/>
          <w:szCs w:val="18"/>
          <w:b w:val="1"/>
          <w:bCs w:val="1"/>
          <w:color w:val="auto"/>
        </w:rPr>
      </w:pPr>
    </w:p>
    <w:p>
      <w:pPr>
        <w:ind w:left="652" w:hanging="652"/>
        <w:spacing w:after="0"/>
        <w:tabs>
          <w:tab w:leader="none" w:pos="6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rFonts w:ascii="Arial" w:cs="Arial" w:eastAsia="Arial" w:hAnsi="Arial"/>
          <w:sz w:val="18"/>
          <w:szCs w:val="18"/>
          <w:b w:val="1"/>
          <w:bCs w:val="1"/>
          <w:color w:val="auto"/>
        </w:rPr>
      </w:pPr>
    </w:p>
    <w:p>
      <w:pPr>
        <w:ind w:left="652"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We have defined contribution 401(k) plans for our employees who work in the U.S. All permanent employees of inTEST Corporation, inTEST EMS LLC, Temptronic Corporation and Videology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three months ended March 31, 2023 and 2022 we recorded $239 and $216 of expense for matching contributions, respectively.</w:t>
      </w:r>
    </w:p>
    <w:p>
      <w:pPr>
        <w:spacing w:after="0" w:line="176" w:lineRule="exact"/>
        <w:rPr>
          <w:rFonts w:ascii="Arial" w:cs="Arial" w:eastAsia="Arial" w:hAnsi="Arial"/>
          <w:sz w:val="18"/>
          <w:szCs w:val="18"/>
          <w:b w:val="1"/>
          <w:bCs w:val="1"/>
          <w:color w:val="auto"/>
        </w:rPr>
      </w:pPr>
    </w:p>
    <w:p>
      <w:pPr>
        <w:ind w:left="5552" w:hanging="109"/>
        <w:spacing w:after="0"/>
        <w:tabs>
          <w:tab w:leader="none" w:pos="55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611" w:right="379" w:bottom="1440" w:gutter="0" w:footer="0" w:header="0"/>
          <w:type w:val="continuous"/>
        </w:sectPr>
      </w:pPr>
    </w:p>
    <w:bookmarkStart w:id="22" w:name="page23"/>
    <w:bookmarkEnd w:id="22"/>
    <w:p>
      <w:pPr>
        <w:ind w:left="660" w:right="40"/>
        <w:spacing w:after="0" w:line="255" w:lineRule="auto"/>
        <w:rPr>
          <w:sz w:val="20"/>
          <w:szCs w:val="20"/>
          <w:color w:val="auto"/>
        </w:rPr>
      </w:pPr>
      <w:r>
        <w:rPr>
          <w:rFonts w:ascii="Arial" w:cs="Arial" w:eastAsia="Arial" w:hAnsi="Arial"/>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six months of service, as defined in the Ambrell Plan. The Ambrell Plan allows eligible employees to make voluntary contributions up to 100% of compensation, up to the federal government contribution limits. We will make a matching contribution of 50% of each employee's contributions up to a maximum of 10% of the employee's deferral with a maximum limit of $5. For the three months ended March 31, 2023 and 2022 we recorded $133 and $101 of expense for matching contributions, respectively.</w:t>
      </w:r>
    </w:p>
    <w:p>
      <w:pPr>
        <w:spacing w:after="0" w:line="21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rFonts w:ascii="Arial" w:cs="Arial" w:eastAsia="Arial" w:hAnsi="Arial"/>
          <w:sz w:val="18"/>
          <w:szCs w:val="18"/>
          <w:b w:val="1"/>
          <w:bCs w:val="1"/>
          <w:color w:val="auto"/>
        </w:rPr>
      </w:pPr>
    </w:p>
    <w:p>
      <w:pPr>
        <w:ind w:left="6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have three operating segments which are also our reportable segments and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 We operate our business worldwide and sell our products both domestically and internationally. All of our segments sell to semiconductor manufacturers, third-party test and assembly houses and ATE manufacturers and to a variety of markets outside of the semi market, including the automotive, defense/aerospace, industrial, life sciences, security and other markets.</w:t>
      </w:r>
    </w:p>
    <w:p>
      <w:pPr>
        <w:spacing w:after="0" w:line="192" w:lineRule="exact"/>
        <w:rPr>
          <w:rFonts w:ascii="Arial" w:cs="Arial" w:eastAsia="Arial" w:hAnsi="Arial"/>
          <w:sz w:val="18"/>
          <w:szCs w:val="18"/>
          <w:b w:val="1"/>
          <w:bCs w:val="1"/>
          <w:color w:val="auto"/>
        </w:rPr>
      </w:pPr>
    </w:p>
    <w:p>
      <w:pPr>
        <w:ind w:left="66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Our management team, including our CEO who is also our Chief Operating Decision Maker as defined under U.S. GAAP, evaluates the performance of our operating segments primarily on income from divisional operations which represents earnings before income tax expense and excludes interest expense, other income (expense), corporate expenses and acquired intangible amortization.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00" w:type="dxa"/>
            <w:vAlign w:val="bottom"/>
            <w:gridSpan w:val="5"/>
          </w:tcPr>
          <w:p>
            <w:pPr>
              <w:jc w:val="right"/>
              <w:ind w:right="1320"/>
              <w:spacing w:after="0"/>
              <w:rPr>
                <w:sz w:val="20"/>
                <w:szCs w:val="20"/>
                <w:color w:val="auto"/>
              </w:rPr>
            </w:pPr>
            <w:r>
              <w:rPr>
                <w:rFonts w:ascii="Arial" w:cs="Arial" w:eastAsia="Arial" w:hAnsi="Arial"/>
                <w:sz w:val="18"/>
                <w:szCs w:val="18"/>
                <w:b w:val="1"/>
                <w:bCs w:val="1"/>
                <w:color w:val="auto"/>
              </w:rPr>
              <w:t>March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Electronic Test</w:t>
            </w:r>
          </w:p>
        </w:tc>
        <w:tc>
          <w:tcPr>
            <w:tcW w:w="2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10,371</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8,778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Process Technologies</w:t>
            </w:r>
          </w:p>
        </w:tc>
        <w:tc>
          <w:tcPr>
            <w:tcW w:w="1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9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31,919</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100" w:type="dxa"/>
            <w:vAlign w:val="bottom"/>
            <w:shd w:val="clear" w:color="auto" w:fill="CCEEFF"/>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680" w:type="dxa"/>
            <w:vAlign w:val="bottom"/>
            <w:tcBorders>
              <w:top w:val="single" w:sz="8" w:color="CCEEFF"/>
            </w:tcBorders>
          </w:tcPr>
          <w:p>
            <w:pPr>
              <w:spacing w:after="0"/>
              <w:rPr>
                <w:sz w:val="17"/>
                <w:szCs w:val="17"/>
                <w:color w:val="auto"/>
              </w:rPr>
            </w:pPr>
          </w:p>
        </w:tc>
        <w:tc>
          <w:tcPr>
            <w:tcW w:w="1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Income from divisional operations: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Electronic Test</w:t>
            </w:r>
          </w:p>
        </w:tc>
        <w:tc>
          <w:tcPr>
            <w:tcW w:w="2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2,578</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Process Technologies</w:t>
            </w:r>
          </w:p>
        </w:tc>
        <w:tc>
          <w:tcPr>
            <w:tcW w:w="1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income from divisional operations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Corporate expenses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(2,205)</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(1,835)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amortization</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Earnings before income tax expense</w:t>
            </w:r>
          </w:p>
        </w:tc>
        <w:tc>
          <w:tcPr>
            <w:tcW w:w="19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3,394</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Electronic Test</w:t>
            </w:r>
          </w:p>
        </w:tc>
        <w:tc>
          <w:tcPr>
            <w:tcW w:w="2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31,303</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31,143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18,362</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18,040</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Process Technologies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57,672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56,866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113,516</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110,066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980" w:type="dxa"/>
            <w:vAlign w:val="bottom"/>
            <w:vMerge w:val="restart"/>
          </w:tcPr>
          <w:p>
            <w:pPr>
              <w:jc w:val="right"/>
              <w:ind w:right="910"/>
              <w:spacing w:after="0"/>
              <w:rPr>
                <w:sz w:val="20"/>
                <w:szCs w:val="20"/>
                <w:color w:val="auto"/>
              </w:rPr>
            </w:pPr>
            <w:r>
              <w:rPr>
                <w:rFonts w:ascii="Arial" w:cs="Arial" w:eastAsia="Arial" w:hAnsi="Arial"/>
                <w:sz w:val="18"/>
                <w:szCs w:val="18"/>
                <w:color w:val="auto"/>
              </w:rPr>
              <w:t>- 21-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23" w:name="page24"/>
    <w:bookmarkEnd w:id="23"/>
    <w:p>
      <w:pPr>
        <w:ind w:left="660" w:right="560"/>
        <w:spacing w:after="0" w:line="277" w:lineRule="auto"/>
        <w:rPr>
          <w:sz w:val="20"/>
          <w:szCs w:val="20"/>
          <w:color w:val="auto"/>
        </w:rPr>
      </w:pPr>
      <w:r>
        <w:rPr>
          <w:rFonts w:ascii="Arial" w:cs="Arial" w:eastAsia="Arial" w:hAnsi="Arial"/>
          <w:sz w:val="18"/>
          <w:szCs w:val="18"/>
          <w:color w:val="auto"/>
        </w:rPr>
        <w:t>The following table provides information about our geographic areas of operation. Revenue is based on the location to which the goods are shipped.</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7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U.S.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11,090</w:t>
            </w:r>
          </w:p>
        </w:tc>
        <w:tc>
          <w:tcPr>
            <w:tcW w:w="11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9,234</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0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20,829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14,847</w:t>
            </w:r>
          </w:p>
        </w:tc>
        <w:tc>
          <w:tcPr>
            <w:tcW w:w="100" w:type="dxa"/>
            <w:vAlign w:val="bottom"/>
            <w:shd w:val="clear" w:color="auto" w:fill="CCEEFF"/>
          </w:tcPr>
          <w:p>
            <w:pPr>
              <w:spacing w:after="0"/>
              <w:rPr>
                <w:sz w:val="18"/>
                <w:szCs w:val="18"/>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66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31,919</w:t>
            </w:r>
          </w:p>
        </w:tc>
        <w:tc>
          <w:tcPr>
            <w:tcW w:w="11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24,081</w:t>
            </w:r>
          </w:p>
        </w:tc>
        <w:tc>
          <w:tcPr>
            <w:tcW w:w="10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8"/>
                <w:szCs w:val="18"/>
                <w:color w:val="auto"/>
              </w:rPr>
            </w:pPr>
          </w:p>
        </w:tc>
      </w:tr>
      <w:tr>
        <w:trPr>
          <w:trHeight w:val="234"/>
        </w:trPr>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2,537</w:t>
            </w:r>
          </w:p>
        </w:tc>
        <w:tc>
          <w:tcPr>
            <w:tcW w:w="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18"/>
                <w:szCs w:val="18"/>
                <w:color w:val="auto"/>
              </w:rPr>
            </w:pPr>
          </w:p>
        </w:tc>
      </w:tr>
      <w:tr>
        <w:trPr>
          <w:trHeight w:val="216"/>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6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3,207</w:t>
            </w:r>
          </w:p>
        </w:tc>
        <w:tc>
          <w:tcPr>
            <w:tcW w:w="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29"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In addition to historical information, this Quarterly Report on Form 10-Q for the period ended March 31, 2023 (this “Report”), including this management’s discussion and analysis (“MD&amp;A”), contains statements that are considered "forward-looking statements" within the meaning of the Private Securities Litigation Reform Act of 1995, as amended.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“believes,” “expects,” “may,” “could,” “will,” “should,” “plans,” “depending,” “projects,” “forecasts,” “seeks,” “anticipates,” “goal,” “objective,” “target,” “estimates,” “future,” “strategy,”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Such risks and uncertainties include, but are not limited to:</w:t>
      </w:r>
    </w:p>
    <w:p>
      <w:pPr>
        <w:spacing w:after="0" w:line="16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execute on our 5-Point Strategy;</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grow our presence in the life sciences, security, industrial and international markets;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of future acquisitions or dispositions and the successful integration of any acquired operations;</w:t>
      </w:r>
    </w:p>
    <w:p>
      <w:pPr>
        <w:spacing w:after="0" w:line="36" w:lineRule="exact"/>
        <w:rPr>
          <w:rFonts w:ascii="Arial" w:cs="Arial" w:eastAsia="Arial" w:hAnsi="Arial"/>
          <w:sz w:val="18"/>
          <w:szCs w:val="18"/>
          <w:color w:val="auto"/>
        </w:rPr>
      </w:pPr>
    </w:p>
    <w:p>
      <w:pPr>
        <w:ind w:left="980" w:right="280" w:hanging="324"/>
        <w:spacing w:after="0" w:line="258"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strategy to diversify our business by entering markets outside the semiconductor and automated test equipment (“ATE”) markets, collectively the “semi market”;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indications of a change in the market cycles in the semi market, or other markets we serve;</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and trends in the semi market, including changes in the demand for semiconductors;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convert backlog to sales and to ship product in a timely manner;</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any one or more of our largest customers, or a reduction in orders by a major customer;</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materials used to manufacture our products;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current global supply chain constraints or other interruptions in our supply chain caused by external factors;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sufficiency of cash balances, lines of credit and net cash from operations;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 price fluctuations;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borrow funds or raise capital to finance potential acquisitions or for working capital;</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rate of, and timing of, capital expenditures by our customers;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effects of exchange rate fluctuations;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of product development programs;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anticipated market for our products;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and retention of key personnel or our ability to hire personnel at anticipated costs;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globally,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 factors included in Part I, Item 1A - "Risk Factors" in our 2022 Form 10-K.</w:t>
      </w:r>
    </w:p>
    <w:p>
      <w:pPr>
        <w:spacing w:after="0" w:line="252"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MD&amp;A should be read in conjunction with the accompanying consolidated financial statements. In addition, please refer to the discussion of our business and markets contained in Part 1, Item 1 of our 2022 Form 10-K.</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a global supplier of innovative test and process technology solutions for use in manufacturing and testing across a wide range of markets including automotive, defense/aerospace, industrial, life sciences, security and semiconductor. We have three reportable segments which are also our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Markets</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As discussed further in Part 1, Item 1 “Markets” of our 2022 Form 10-K, we are focused on specific target markets which include automotive, defense/aerospace, industrial, life sciences, security as well as both the front-end and back-end of the semi market.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portion of our business that is derived from the semi market is substantially dependent upon the demand for ATE by semiconductor manufacturers and companies that specialize in the testing of integrated circuits (“ICs”)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6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5" w:name="page26"/>
    <w:bookmarkEnd w:id="25"/>
    <w:p>
      <w:pPr>
        <w:ind w:right="60"/>
        <w:spacing w:after="0" w:line="254" w:lineRule="auto"/>
        <w:rPr>
          <w:sz w:val="20"/>
          <w:szCs w:val="20"/>
          <w:color w:val="auto"/>
        </w:rPr>
      </w:pPr>
      <w:r>
        <w:rPr>
          <w:rFonts w:ascii="Arial" w:cs="Arial" w:eastAsia="Arial" w:hAnsi="Arial"/>
          <w:sz w:val="18"/>
          <w:szCs w:val="18"/>
          <w:color w:val="auto"/>
        </w:rPr>
        <w:t>As discussed further in Part I, Item 1 “Overview and Strategy” of our 2022 Form 10-K,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the automotive, defense/aerospace, industrial, life sciences and security markets.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spacing w:after="0" w:line="19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a breakdown of revenue by market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w w:val="95"/>
              </w:rPr>
              <w:t>Three Months Ended</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w w:val="90"/>
              </w:rPr>
              <w:t>Change</w:t>
            </w:r>
          </w:p>
        </w:tc>
        <w:tc>
          <w:tcPr>
            <w:tcW w:w="600" w:type="dxa"/>
            <w:vAlign w:val="bottom"/>
            <w:tcBorders>
              <w:bottom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0"/>
              </w:rPr>
              <w:t>Change</w:t>
            </w:r>
          </w:p>
        </w:tc>
        <w:tc>
          <w:tcPr>
            <w:tcW w:w="620" w:type="dxa"/>
            <w:vAlign w:val="bottom"/>
            <w:tcBorders>
              <w:bottom w:val="single" w:sz="8" w:color="auto"/>
              <w:right w:val="single" w:sz="8" w:color="auto"/>
            </w:tcBorders>
          </w:tcPr>
          <w:p>
            <w:pPr>
              <w:spacing w:after="0"/>
              <w:rPr>
                <w:sz w:val="18"/>
                <w:szCs w:val="18"/>
                <w:color w:val="auto"/>
              </w:rPr>
            </w:pPr>
          </w:p>
        </w:tc>
      </w:tr>
      <w:tr>
        <w:trPr>
          <w:trHeight w:val="223"/>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3/31/2023</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3/31/2022</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12/31/2022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09"/>
        </w:trPr>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Semi</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17,683</w:t>
            </w:r>
          </w:p>
        </w:tc>
        <w:tc>
          <w:tcPr>
            <w:tcW w:w="580" w:type="dxa"/>
            <w:vAlign w:val="bottom"/>
          </w:tcPr>
          <w:p>
            <w:pPr>
              <w:jc w:val="right"/>
              <w:spacing w:after="0"/>
              <w:rPr>
                <w:sz w:val="20"/>
                <w:szCs w:val="20"/>
                <w:color w:val="auto"/>
              </w:rPr>
            </w:pPr>
            <w:r>
              <w:rPr>
                <w:rFonts w:ascii="Arial" w:cs="Arial" w:eastAsia="Arial" w:hAnsi="Arial"/>
                <w:sz w:val="18"/>
                <w:szCs w:val="18"/>
                <w:color w:val="auto"/>
              </w:rPr>
              <w:t>55.4%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13,390</w:t>
            </w:r>
          </w:p>
        </w:tc>
        <w:tc>
          <w:tcPr>
            <w:tcW w:w="580" w:type="dxa"/>
            <w:vAlign w:val="bottom"/>
          </w:tcPr>
          <w:p>
            <w:pPr>
              <w:jc w:val="right"/>
              <w:spacing w:after="0"/>
              <w:rPr>
                <w:sz w:val="20"/>
                <w:szCs w:val="20"/>
                <w:color w:val="auto"/>
              </w:rPr>
            </w:pPr>
            <w:r>
              <w:rPr>
                <w:rFonts w:ascii="Arial" w:cs="Arial" w:eastAsia="Arial" w:hAnsi="Arial"/>
                <w:sz w:val="18"/>
                <w:szCs w:val="18"/>
                <w:color w:val="auto"/>
              </w:rPr>
              <w:t>55.6%</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4,293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w w:val="98"/>
              </w:rPr>
              <w:t>19,453</w:t>
            </w:r>
          </w:p>
        </w:tc>
        <w:tc>
          <w:tcPr>
            <w:tcW w:w="78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3,137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2,799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2,179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Auto/EV</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2,597</w:t>
            </w: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2,756</w:t>
            </w: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2,805</w:t>
            </w: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5"/>
              </w:rPr>
              <w:t>Life Sciences</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699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Defense/Aero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2,839</w:t>
            </w: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1,493</w:t>
            </w: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2,176</w:t>
            </w: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966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574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3,184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2,370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814</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3,784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8"/>
              </w:rPr>
              <w:t>31,919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8"/>
              </w:rPr>
              <w:t>24,081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7,838</w:t>
            </w:r>
          </w:p>
        </w:tc>
        <w:tc>
          <w:tcPr>
            <w:tcW w:w="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8"/>
              </w:rPr>
              <w:t>32,405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Total consolidated revenue for the three months ended March 31, 2023 was $31.9 million compared to $24.1 million for the same period in 2022 and $32.4 million for the three months ended December 31, 2022. The increase in revenue for the first quarter of 2023 as compared to the same period in 2022 reflects strong demand across semi, defense/aerospace, life sciences, security and other markets. Demand from the semi market reflects both an increase in demand for our induction heating technology solutions for silicon carbide (SiC) crystal growth and epitaxy applications, as well as docking hardware and tester interfaces for analog and mixed signal applications. The strength in defense/aerospace was for both our environmental test solutions as well as our digital imaging solutions. The only market where we did not see an increase over the comparable prior year period was the automotive/EV market. We attribute this decline primarily to the variability in the timing of orders and customer delivery schedules.</w:t>
      </w:r>
    </w:p>
    <w:p>
      <w:pPr>
        <w:spacing w:after="0" w:line="19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Compared with the fourth quarter of 2022, revenue was down $486,000, or 1.5%. We attribute this decline primarily to variability in the timing of shipments. Increased sales to the industrial, defense/aerospace and life sciences markets helped to offset declines in shipments to semi, other and automotive/EV markets.</w:t>
      </w:r>
    </w:p>
    <w:p>
      <w:pPr>
        <w:spacing w:after="0" w:line="18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use the following key performance metrics to analyze and measure our financial performance and results of operations: orders and backlog.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net revenue that we expect to realize for unfilled orders received as of that date. We believe backlog is useful and use this information for similar reasons to those detailed above for orders. The majority of our backlog at any given time is expected to be fulfilled 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 a quantitative reconciliation for each is not required or provided.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a breakdown of the orders received by market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0"/>
              </w:rPr>
              <w:t>Change</w:t>
            </w:r>
          </w:p>
        </w:tc>
        <w:tc>
          <w:tcPr>
            <w:tcW w:w="600" w:type="dxa"/>
            <w:vAlign w:val="bottom"/>
            <w:tcBorders>
              <w:bottom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0"/>
              </w:rPr>
              <w:t>Change</w:t>
            </w:r>
          </w:p>
        </w:tc>
        <w:tc>
          <w:tcPr>
            <w:tcW w:w="620" w:type="dxa"/>
            <w:vAlign w:val="bottom"/>
            <w:tcBorders>
              <w:bottom w:val="single" w:sz="8" w:color="auto"/>
              <w:right w:val="single" w:sz="8" w:color="auto"/>
            </w:tcBorders>
          </w:tcPr>
          <w:p>
            <w:pPr>
              <w:spacing w:after="0"/>
              <w:rPr>
                <w:sz w:val="18"/>
                <w:szCs w:val="18"/>
                <w:color w:val="auto"/>
              </w:rPr>
            </w:pPr>
          </w:p>
        </w:tc>
      </w:tr>
      <w:tr>
        <w:trPr>
          <w:trHeight w:val="223"/>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3/31/2023</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3/31/2022</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12/31/2022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09"/>
        </w:trPr>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Orders</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Semi</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18,346</w:t>
            </w:r>
          </w:p>
        </w:tc>
        <w:tc>
          <w:tcPr>
            <w:tcW w:w="580" w:type="dxa"/>
            <w:vAlign w:val="bottom"/>
          </w:tcPr>
          <w:p>
            <w:pPr>
              <w:jc w:val="right"/>
              <w:spacing w:after="0"/>
              <w:rPr>
                <w:sz w:val="20"/>
                <w:szCs w:val="20"/>
                <w:color w:val="auto"/>
              </w:rPr>
            </w:pPr>
            <w:r>
              <w:rPr>
                <w:rFonts w:ascii="Arial" w:cs="Arial" w:eastAsia="Arial" w:hAnsi="Arial"/>
                <w:sz w:val="18"/>
                <w:szCs w:val="18"/>
                <w:color w:val="auto"/>
              </w:rPr>
              <w:t>59.5%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12,382</w:t>
            </w:r>
          </w:p>
        </w:tc>
        <w:tc>
          <w:tcPr>
            <w:tcW w:w="580" w:type="dxa"/>
            <w:vAlign w:val="bottom"/>
          </w:tcPr>
          <w:p>
            <w:pPr>
              <w:jc w:val="right"/>
              <w:spacing w:after="0"/>
              <w:rPr>
                <w:sz w:val="20"/>
                <w:szCs w:val="20"/>
                <w:color w:val="auto"/>
              </w:rPr>
            </w:pPr>
            <w:r>
              <w:rPr>
                <w:rFonts w:ascii="Arial" w:cs="Arial" w:eastAsia="Arial" w:hAnsi="Arial"/>
                <w:sz w:val="18"/>
                <w:szCs w:val="18"/>
                <w:color w:val="auto"/>
              </w:rPr>
              <w:t>49.4%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5,964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w w:val="98"/>
              </w:rPr>
              <w:t>14,775</w:t>
            </w:r>
          </w:p>
        </w:tc>
        <w:tc>
          <w:tcPr>
            <w:tcW w:w="78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4,142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3,222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2,657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Auto/EV</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2,044</w:t>
            </w: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2,619</w:t>
            </w: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1,660</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5"/>
              </w:rPr>
              <w:t>Life Sciences</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1,936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Defense/Aero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1,977</w:t>
            </w: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1,851</w:t>
            </w: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3,364</w:t>
            </w: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2,172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2,167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3,620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-40.1%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4,660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8"/>
              </w:rPr>
              <w:t>30,824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8"/>
              </w:rPr>
              <w:t>25,063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5,761</w:t>
            </w:r>
          </w:p>
        </w:tc>
        <w:tc>
          <w:tcPr>
            <w:tcW w:w="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8"/>
              </w:rPr>
              <w:t>31,315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Total consolidated orders for the three months ended March 31, 2023 were $30.8 million compared to $25.1 million for the same period in 2022 and $31.3 million for the three months ended December 31, 2022. The drivers of the increase in demand for the first quarter of 2023 as compared to the same period in 2022 are similar to those discussed above under “Revenue.” We attribute the decline in orders for the first quarter of 2023 as compared to the fourth quarter of 2022 primarily to timing. During the fourth quarter of 2022, we received large orders from certain of our customers which are scheduled to ship over the next several quarters. As a result, orders from these same customers in the first quarter of 2023 were reduced compared to the amounts received in the fourth quarter of 2022. The impact of the timing of receipt of these larger orders was partially offset by continued strong demand from our semi and industrial market customers in the first quarter of 2023 as compared to the fourth quarter of 2022.</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March 31, 2023, our backlog of unfilled orders for all products was approximately $45.7 million compared with approximately $35.0 million at March 31, 2022 and $46.8 million at December 31, 2022. The significant increase in our backlog as compared to the level at March 31, 2022 primarily reflects increased demand for our products and, to a lesser extent, longer lead times for many of our products which has led to our customers placing orders with us earlier than had been their historical practice. Our backlog includes customer orders that we have accepted, substantially all of which we expect to deliver in 2023.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War in Ukraine and Global Supply Chain Constraints</w:t>
      </w:r>
    </w:p>
    <w:p>
      <w:pPr>
        <w:spacing w:after="0" w:line="225"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The ongoing war between Russia and Ukraine continues to contribute to global inflationary pressures and the availability of certain raw materials produced in that region, further exacerbating global supply chain challenges that emerged after the onset of the COVID-19 pandemic as described below. Acculogic purchases certain material from a key sole-source supplier in Belarus, which is bordered by Russia to the east and northeast and Ukraine to the south. We estimate that we currently have a six-to-nine-month supply of this material. We are currently in the process of qualifying an alternate supplier for this material. We expect to have a sample of the alternate supplier’s material to evaluate by the end of the third quarter of 2023 with the goal of having the material fully qualified by the end of the year.</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while we were able to mitigate a significant portion of the supply chain and logistics challenges that we encountered throughout 2022, and conditions appear to have stabilized, uncertainty in the global trade environment and the possibility of future global health or other crises remain. As a result, we expect that we may continue to experience increased prices, lack of availability and logistics delays from time to time for the foreseeable future. The actions we have taken and are continuing to take to mitigate these risks include qualifying new vendors as alternate sources in our supply chain, increasing our inventory of raw materials and ordering further in advance of when we expect to need materials than has been our practice in the past. We have also increased the prices that we charge our customers, where appropriate, and continue to work with our customers to find alternate options for the shipment of products where they control aspects of the logistics process. However, the environment in which we operate is dynamic and shifts rapidly at times, and the success of our efforts to mitigate and address the impacts on our business may not be successful. As a result, we could see increases in our costs or reduced revenues which would impact the level of our earnings in future periods.</w:t>
      </w:r>
    </w:p>
    <w:p>
      <w:pPr>
        <w:spacing w:after="0" w:line="18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4" w:right="359" w:bottom="457" w:gutter="0" w:footer="0" w:header="0"/>
        </w:sectPr>
      </w:pPr>
    </w:p>
    <w:bookmarkStart w:id="27" w:name="page28"/>
    <w:bookmarkEnd w:id="27"/>
    <w:p>
      <w:pPr>
        <w:ind w:right="180"/>
        <w:spacing w:after="0" w:line="277" w:lineRule="auto"/>
        <w:rPr>
          <w:sz w:val="20"/>
          <w:szCs w:val="20"/>
          <w:color w:val="auto"/>
        </w:rPr>
      </w:pPr>
      <w:r>
        <w:rPr>
          <w:rFonts w:ascii="Arial" w:cs="Arial" w:eastAsia="Arial" w:hAnsi="Arial"/>
          <w:sz w:val="18"/>
          <w:szCs w:val="18"/>
          <w:color w:val="auto"/>
        </w:rPr>
        <w:t>Please refer to Part 1, Item 1A of our 2022 Form 10-K for further discussion of the risks associated with our business operations, including risks associated with foreign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results of operations for our three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a particular operating segment where significant to an understanding of that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2023 Compared to Three Months Ended March 31, 2022</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was $31.9 million for the three months ended March 31, 2023 compared to $24.1 million for the same period in 2022,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$7.8 million, or 33%. We believe the increase in our revenue during the first quarter of 2023 reflects the factors previously discussed in the Overview section.</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consolidated gross margin was 47% of revenue for the three months ended March 31, 2023 as compared to 46% of revenue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2022. The increase in our gross margin primarily reflects that our fixed operating costs were more fully absorbed by the higher revenue levels in the first quarter of 2023 as compared to the same period in 2022. Although these costs increased $636,000 in absolute dollar terms, they represented 12% of revenue in the first quarter of 2023 as compared to 13% for the first quarter of 2022. The increase in our fixed operating costs primarily reflects higher salary and benefits expense as we have increased our level of operations staffing to support the higher revenue levels. To a lesser extent we also attribute the increase in our gross margin to favorable product mix and the impact of certain pricing actions taken subsequent to the first quarter of 2022.</w:t>
      </w:r>
    </w:p>
    <w:p>
      <w:pPr>
        <w:spacing w:after="0" w:line="19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$4.5 million for the three months ended March 31, 2023 compared to $3.5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2022, an increase of $999,000 or 29%. The increase primarily represents higher commission expense because of the higher revenue in the first quarter of 2023. To a lesser extent, there were also increases in salary and benefits expense as a result of headcount investments, and higher advertising and travel costs as we support the growth in our business.</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relatively unchanged at $1.9 million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three months ended March 31, 2023 and 2022, respectively. There were no significant changes in any of the components of engineering and product development expense in the first quarter of 2023 as compared to the same period in 2022.</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$5.2 million for the three months ended March 31, 2023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$4.8 million for the same period in 2022 an increase of $344,000, or 7%. The increase reflects higher accruals for profit-related bonuses and an increase in stock-based compensation expense. We also recorded approximately $86,000 related to the relocation of one of our Acculogic operations to a new facility in the first quarter of 2023. These increases were partially offset by a reduction in amortization expense related to our acquired intangible assets.</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For the three months ended March 31, 2023, we recorded income tax expense of $577,000 compared to income tax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of $78,000 for the same period in 2022. Our effective tax rate was 17% for the three months ended March 31, 2023 compared to 12% for the same period in 2022. On a quarterly basis, we record income tax expense or benefit based on the expected annualized effective tax rate for the various taxing jurisdictions in which we operate our businesses. The lower effective tax rate in the first quarter of 2022 was a result of releasing valuation allowance on foreign net operating loss carryforwards during that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8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4" w:right="359" w:bottom="1440" w:gutter="0" w:footer="0" w:header="0"/>
        </w:sectPr>
      </w:pPr>
    </w:p>
    <w:bookmarkStart w:id="28" w:name="page29"/>
    <w:bookmarkEnd w:id="28"/>
    <w:p>
      <w:pPr>
        <w:ind w:right="100"/>
        <w:spacing w:after="0" w:line="296" w:lineRule="auto"/>
        <w:rPr>
          <w:sz w:val="20"/>
          <w:szCs w:val="20"/>
          <w:color w:val="auto"/>
        </w:rPr>
      </w:pPr>
      <w:r>
        <w:rPr>
          <w:rFonts w:ascii="Arial" w:cs="Arial" w:eastAsia="Arial" w:hAnsi="Arial"/>
          <w:sz w:val="16"/>
          <w:szCs w:val="16"/>
          <w:color w:val="auto"/>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Facility</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discussed in the Overview and in Note 9 to our consolidated financial statements in this Report, on October 15, 2021, we entered into the Loan Agreement with M&amp;T. The Loan Agreement includes a $25 million non-revolving delayed draw term note (the “Term Note”) and a $10 million revolving credit facility (the “Revolving Facility and together with the Term Note, the “Credit Facility”). The Credit Facility had a five year contract period that began on the Closing Date and expired on October 15, 2026, and draws under the Term Note were permissible for two years.</w:t>
      </w:r>
    </w:p>
    <w:p>
      <w:pPr>
        <w:spacing w:after="0" w:line="1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September 20, 2022, we further amended the Loan Agreement by entering into a Third Amendment to Amended and Restated Loan and Security Agreement (the Loan Agreement as amended by the Third Amendment, the “Amended Loan Agreement”) and the Third Amended and Restated Delayed Draw Term Note 1A. Under the Amended Loan Agreement, the maximum loan amount that we may borrow under the Term Note increased from $25 million to $50.5 million, which raises the available funding at March 31, 2023 to $30 million. Under the Amended Loan Agreement, the maturity date of the Term Note and Revolving Facility were also extended to September 19, 2027 (the “Contract Period”). At March 31, 2023, we had not borrowed any amounts under the $10 million Revolving Facility. Our borrowings under the Term Note are discussed below and occurred prior to entering into the Amended Loan Agreement. The principal balance of the Revolving Facility and the principal balance of any amount drawn under the Term Note accrues interest based on the Secured Overnight Financing Rate or a bank-defined base rate plus an applicable margin, depending on leverage. The Amended Loan Agreement includes customary affirmative, negative and financial covenants, including a maximum ratio of consolidated funded debt to consolidated EBITDA of not more than 3.0 to 1.0 and a fixed charge coverage ratio of not less than 1.25 to 1.0. Our obligations under the Amended Loan Agreement are secured by liens on substantially all of our tangible and intangible assets. At March 31, 2023, we were in compliance with all of the covenants included in the Credit Facility. At this date, our consolidated funded debt to consolidated EBITDA ratio was 0.8 and our fixed charge coverage ratio was 3.7.</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28, 2021, we drew $12 million under the Term Note to finance the acquisition of Videology.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March 31, 2023, it was approximately 6.7% based on current leverage.</w:t>
      </w:r>
    </w:p>
    <w:p>
      <w:pPr>
        <w:spacing w:after="0" w:line="18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At March 31, 2023, there were no amounts borrowed under our revolving credit facility. This facility has a total borrowing availability of $10.0 million. Interest expense for the three months ended March 31, 2023 and 2022 was $182,000 and $137,000,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and working capital were as follows (in thousands):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80" w:type="dxa"/>
            <w:vAlign w:val="bottom"/>
            <w:shd w:val="clear" w:color="auto" w:fill="CCEEFF"/>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Working capital</w:t>
            </w:r>
          </w:p>
        </w:tc>
        <w:tc>
          <w:tcPr>
            <w:tcW w:w="21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35,673</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33,182</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March 31, 2023, $5.5 million, or 36% of our cash and cash equivalents was held by our foreign subsidiaries. We also had $516,000 of restricted cash that is discussed in Note 2 to our consolidated financial statements in this Report that was held by one of our subsidiaries in the Netherlands. We currently expect our cash and cash equivalents, in combination with the borrowing capacity available under our Revolving Facility and the anticipated net cash to be provided by our operations in the next twelve months to be sufficient to support our short-term working capital requirements and other corporate requirements. Our Revolving Facility is discussed in Note 9 to our consolidated financial statements in this Report.</w:t>
      </w:r>
    </w:p>
    <w:p>
      <w:pPr>
        <w:spacing w:after="0" w:line="1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584" w:right="379" w:bottom="1440" w:gutter="0" w:footer="0" w:header="0"/>
        </w:sectPr>
      </w:pPr>
    </w:p>
    <w:bookmarkStart w:id="29" w:name="page30"/>
    <w:bookmarkEnd w:id="29"/>
    <w:p>
      <w:pPr>
        <w:ind w:right="80"/>
        <w:spacing w:after="0" w:line="270" w:lineRule="auto"/>
        <w:rPr>
          <w:sz w:val="20"/>
          <w:szCs w:val="20"/>
          <w:color w:val="auto"/>
        </w:rPr>
      </w:pPr>
      <w:r>
        <w:rPr>
          <w:rFonts w:ascii="Arial" w:cs="Arial" w:eastAsia="Arial" w:hAnsi="Arial"/>
          <w:sz w:val="17"/>
          <w:szCs w:val="17"/>
          <w:color w:val="auto"/>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Since the beginning of 2022, in connection with the increasing level of our backlog, we have made additional investments in inventory which now comprises a greater portion of our total working capital at March 31, 2023 than it has historically represented. We also anticipate making investments in our business in the next twelve months including hiring of additional staff, updates to our website and other systems and investments related to our geographic and market expansion efforts. We estimate that our minimum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current strategy for growth includes pursuing acquisition opportunities for complementary businesses, technologies or products. As discussed further in our 2022 Form 10-K, we acquired substantially all of the assets of Videology in October 2021 and we completed the acquisition of Acculogic in December 2021. We utilized $20.5 million under the Term Note to finance these acquisitions. As previously discussed, we currently anticipate that any additional long-term cash requirements related to our strategy would be funded through a combination of our cash and cash equivalents, the remaining availability under the Term Note or by issuing equity. The borrowing availability under the Term Note was expanded in September 2022 as discussed above and in Note 9 to our consolidated financial statements in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For the three months ended March 31, 2023, we recorded net earnings of $2.8 million. Net cash provided by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this period was $2.5 million. During the three months ended March 31, 2023, we had non-cash charges of $1.2 million for depreciation and amortization which included $391,000 of amortization related to our ROU assets. Our operating lease liabilities declined $423,000 during this same period. During the three months ended March 31, 2023, we recorded $474,000 for amortization of deferred compensation expense related to stock-based awards and a deferred tax benefit of $404,000. During the first quarter of 2023, inventories increased $2.0 million as we secured inventory to fill the orders in our backlog at March 31, 2023. Accrued wages and benefits decreased $654,000 during the three months ended March 31, 2023 reflecting the payment in March 2023 of profit-based bonuses accrued in 2022 on our results for the year. Customer deposits and deferred revenue increased $921,000 during the first quarter of 2023 as we collected down payments from customers on orders received. Domestic and foreign income taxes payable increased $864,000 as we accrued taxes due on our net earnings.</w:t>
      </w:r>
    </w:p>
    <w:p>
      <w:pPr>
        <w:spacing w:after="0" w:line="166"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During the three months ended March 31, 2023, purchases of property and equipment were $334,000, primarily reflecting</w:t>
      </w:r>
      <w:r>
        <w:rPr>
          <w:rFonts w:ascii="Arial" w:cs="Arial" w:eastAsia="Arial" w:hAnsi="Arial"/>
          <w:sz w:val="16"/>
          <w:szCs w:val="16"/>
          <w:i w:val="1"/>
          <w:iCs w:val="1"/>
          <w:color w:val="auto"/>
        </w:rPr>
        <w:t xml:space="preserve"> </w:t>
      </w:r>
      <w:r>
        <w:rPr>
          <w:rFonts w:ascii="Arial" w:cs="Arial" w:eastAsia="Arial" w:hAnsi="Arial"/>
          <w:sz w:val="16"/>
          <w:szCs w:val="16"/>
          <w:color w:val="auto"/>
        </w:rPr>
        <w:t>leasehold improvements to our new facility for our Acculogic operation in Canada. These improvements were funded using our working capital. We have no significant commitments for capital expenditures for the balance of 2023;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revolving credit facility.</w:t>
      </w:r>
    </w:p>
    <w:p>
      <w:pPr>
        <w:spacing w:after="0" w:line="16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During the three months ended March 31, 2023, we made principal payments on our Term Note totaling $1.0 million.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this same period, we received $165,000 as a result of the exercise of options to purchase our stock by employees and $40,000 as a result of purchases of our stock that were made by our employees under the the inTEST Corporation Employee Stock Purchase Plan. We also acquired $33,000 of stock as a result of shares withheld by us from employees to satisfy tax liabilities incurred by them as a result of vesting of restricted stock awards. These shares are classified as treasury stock on our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the Notes to our consolidated financial statements in this Report for information concerning the implementation and impact of new or recently adopted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2023, there have been no significant changes to the accounting estimates that we have deemed critical. Our critical accounting estimates are more fully described in our 2022 Form 10-K.</w:t>
      </w:r>
    </w:p>
    <w:p>
      <w:pPr>
        <w:spacing w:after="0" w:line="18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There were no off-balance sheet arrangements during the three months ended March 31, 2023 that have or are reasonably likely to have, a current or future effect on our financial condition, changes in financial condition, revenue or expenses, results of operations, liquidity, capital expenditures or capital resources that is material to our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of 1934, as amended,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CEO/CFO Conclusions about the Effectiveness of the Disclosure Controls and Procedures</w:t>
      </w:r>
    </w:p>
    <w:p>
      <w:pPr>
        <w:spacing w:after="0" w:line="229"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As required by Rule 13a-15(b) of the Exchange Act, 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ind w:left="660" w:right="80"/>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2022 Form 10-K filed with the Securities and Exchange Commission on March 22, 2023. There have been no material changes from the risk factors set forth in our 2022 Form 10-K.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ind w:left="660"/>
              <w:spacing w:after="0"/>
              <w:rPr>
                <w:sz w:val="20"/>
                <w:szCs w:val="20"/>
                <w:color w:val="auto"/>
              </w:rPr>
            </w:pPr>
            <w:r>
              <w:rPr>
                <w:rFonts w:ascii="Arial" w:cs="Arial" w:eastAsia="Arial" w:hAnsi="Arial"/>
                <w:sz w:val="18"/>
                <w:szCs w:val="18"/>
                <w:color w:val="auto"/>
              </w:rPr>
              <w:t>None.</w:t>
            </w:r>
          </w:p>
        </w:tc>
        <w:tc>
          <w:tcPr>
            <w:tcW w:w="2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7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1720" w:type="dxa"/>
            <w:vAlign w:val="bottom"/>
          </w:tcPr>
          <w:p>
            <w:pPr>
              <w:ind w:left="660"/>
              <w:spacing w:after="0"/>
              <w:rPr>
                <w:sz w:val="20"/>
                <w:szCs w:val="20"/>
                <w:color w:val="auto"/>
              </w:rPr>
            </w:pPr>
            <w:r>
              <w:rPr>
                <w:rFonts w:ascii="Arial" w:cs="Arial" w:eastAsia="Arial" w:hAnsi="Arial"/>
                <w:sz w:val="18"/>
                <w:szCs w:val="18"/>
                <w:color w:val="auto"/>
              </w:rPr>
              <w:t>31.1</w:t>
            </w:r>
          </w:p>
        </w:tc>
        <w:tc>
          <w:tcPr>
            <w:tcW w:w="9260" w:type="dxa"/>
            <w:vAlign w:val="bottom"/>
            <w:gridSpan w:val="5"/>
          </w:tcPr>
          <w:p>
            <w:pPr>
              <w:spacing w:after="0"/>
              <w:rPr>
                <w:sz w:val="20"/>
                <w:szCs w:val="20"/>
                <w:color w:val="auto"/>
              </w:rPr>
            </w:pPr>
            <w:r>
              <w:rPr>
                <w:rFonts w:ascii="Arial" w:cs="Arial" w:eastAsia="Arial" w:hAnsi="Arial"/>
                <w:sz w:val="18"/>
                <w:szCs w:val="18"/>
                <w:color w:val="0000EE"/>
              </w:rPr>
              <w:t>Certification of Chief Executive Officer pursuant to Rule 13a-14(a).</w:t>
            </w:r>
          </w:p>
        </w:tc>
      </w:tr>
      <w:tr>
        <w:trPr>
          <w:trHeight w:val="196"/>
        </w:trPr>
        <w:tc>
          <w:tcPr>
            <w:tcW w:w="1720" w:type="dxa"/>
            <w:vAlign w:val="bottom"/>
          </w:tcPr>
          <w:p>
            <w:pPr>
              <w:ind w:left="660"/>
              <w:spacing w:after="0" w:line="196" w:lineRule="exact"/>
              <w:rPr>
                <w:sz w:val="20"/>
                <w:szCs w:val="20"/>
                <w:color w:val="auto"/>
              </w:rPr>
            </w:pPr>
            <w:r>
              <w:rPr>
                <w:rFonts w:ascii="Arial" w:cs="Arial" w:eastAsia="Arial" w:hAnsi="Arial"/>
                <w:sz w:val="18"/>
                <w:szCs w:val="18"/>
                <w:color w:val="auto"/>
              </w:rPr>
              <w:t>31.2</w:t>
            </w:r>
          </w:p>
        </w:tc>
        <w:tc>
          <w:tcPr>
            <w:tcW w:w="48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 Rule 13a-14(a).</w:t>
            </w:r>
          </w:p>
        </w:tc>
        <w:tc>
          <w:tcPr>
            <w:tcW w:w="40" w:type="dxa"/>
            <w:vAlign w:val="bottom"/>
            <w:tcBorders>
              <w:top w:val="single" w:sz="8" w:color="0000EE"/>
            </w:tcBorders>
          </w:tcPr>
          <w:p>
            <w:pPr>
              <w:spacing w:after="0"/>
              <w:rPr>
                <w:sz w:val="17"/>
                <w:szCs w:val="17"/>
                <w:color w:val="auto"/>
              </w:rPr>
            </w:pPr>
          </w:p>
        </w:tc>
        <w:tc>
          <w:tcPr>
            <w:tcW w:w="4360" w:type="dxa"/>
            <w:vAlign w:val="bottom"/>
            <w:gridSpan w:val="2"/>
          </w:tcPr>
          <w:p>
            <w:pPr>
              <w:spacing w:after="0"/>
              <w:rPr>
                <w:sz w:val="17"/>
                <w:szCs w:val="17"/>
                <w:color w:val="auto"/>
              </w:rPr>
            </w:pPr>
          </w:p>
        </w:tc>
      </w:tr>
      <w:tr>
        <w:trPr>
          <w:trHeight w:val="196"/>
        </w:trPr>
        <w:tc>
          <w:tcPr>
            <w:tcW w:w="1720" w:type="dxa"/>
            <w:vAlign w:val="bottom"/>
          </w:tcPr>
          <w:p>
            <w:pPr>
              <w:ind w:left="660"/>
              <w:spacing w:after="0" w:line="196" w:lineRule="exact"/>
              <w:rPr>
                <w:sz w:val="20"/>
                <w:szCs w:val="20"/>
                <w:color w:val="auto"/>
              </w:rPr>
            </w:pPr>
            <w:r>
              <w:rPr>
                <w:rFonts w:ascii="Arial" w:cs="Arial" w:eastAsia="Arial" w:hAnsi="Arial"/>
                <w:sz w:val="18"/>
                <w:szCs w:val="18"/>
                <w:color w:val="auto"/>
              </w:rPr>
              <w:t>32.1</w:t>
            </w:r>
          </w:p>
        </w:tc>
        <w:tc>
          <w:tcPr>
            <w:tcW w:w="92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Certification of Chief Executive Officer furnished pursuant to 18 U.S.C. Section 1350, as adopted pursuant to Section 906 of the</w:t>
            </w:r>
          </w:p>
        </w:tc>
      </w:tr>
      <w:tr>
        <w:trPr>
          <w:trHeight w:val="196"/>
        </w:trPr>
        <w:tc>
          <w:tcPr>
            <w:tcW w:w="172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7160" w:type="dxa"/>
            <w:vAlign w:val="bottom"/>
            <w:gridSpan w:val="4"/>
          </w:tcPr>
          <w:p>
            <w:pPr>
              <w:spacing w:after="0"/>
              <w:rPr>
                <w:sz w:val="17"/>
                <w:szCs w:val="17"/>
                <w:color w:val="auto"/>
              </w:rPr>
            </w:pPr>
          </w:p>
        </w:tc>
      </w:tr>
      <w:tr>
        <w:trPr>
          <w:trHeight w:val="196"/>
        </w:trPr>
        <w:tc>
          <w:tcPr>
            <w:tcW w:w="1720" w:type="dxa"/>
            <w:vAlign w:val="bottom"/>
          </w:tcPr>
          <w:p>
            <w:pPr>
              <w:ind w:left="660"/>
              <w:spacing w:after="0" w:line="196" w:lineRule="exact"/>
              <w:rPr>
                <w:sz w:val="20"/>
                <w:szCs w:val="20"/>
                <w:color w:val="auto"/>
              </w:rPr>
            </w:pPr>
            <w:r>
              <w:rPr>
                <w:rFonts w:ascii="Arial" w:cs="Arial" w:eastAsia="Arial" w:hAnsi="Arial"/>
                <w:sz w:val="18"/>
                <w:szCs w:val="18"/>
                <w:color w:val="auto"/>
              </w:rPr>
              <w:t>32.2</w:t>
            </w:r>
          </w:p>
        </w:tc>
        <w:tc>
          <w:tcPr>
            <w:tcW w:w="9260" w:type="dxa"/>
            <w:vAlign w:val="bottom"/>
            <w:gridSpan w:val="5"/>
          </w:tcPr>
          <w:p>
            <w:pPr>
              <w:spacing w:after="0" w:line="196" w:lineRule="exact"/>
              <w:rPr>
                <w:sz w:val="20"/>
                <w:szCs w:val="20"/>
                <w:color w:val="auto"/>
              </w:rPr>
            </w:pPr>
            <w:r>
              <w:rPr>
                <w:rFonts w:ascii="Arial" w:cs="Arial" w:eastAsia="Arial" w:hAnsi="Arial"/>
                <w:sz w:val="18"/>
                <w:szCs w:val="18"/>
                <w:color w:val="0000EE"/>
                <w:w w:val="91"/>
              </w:rPr>
              <w:t>Certification of Chief Financial Officer furnished pursuant to 18 U.S.C. Section 1350, as adopted pursuant to Section 906 of the</w:t>
            </w:r>
          </w:p>
        </w:tc>
      </w:tr>
      <w:tr>
        <w:trPr>
          <w:trHeight w:val="196"/>
        </w:trPr>
        <w:tc>
          <w:tcPr>
            <w:tcW w:w="172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7100" w:type="dxa"/>
            <w:vAlign w:val="bottom"/>
            <w:tcBorders>
              <w:top w:val="single" w:sz="8" w:color="0000EE"/>
            </w:tcBorders>
            <w:gridSpan w:val="3"/>
          </w:tcPr>
          <w:p>
            <w:pPr>
              <w:spacing w:after="0"/>
              <w:rPr>
                <w:sz w:val="17"/>
                <w:szCs w:val="17"/>
                <w:color w:val="auto"/>
              </w:rPr>
            </w:pPr>
          </w:p>
        </w:tc>
        <w:tc>
          <w:tcPr>
            <w:tcW w:w="60" w:type="dxa"/>
            <w:vAlign w:val="bottom"/>
          </w:tcPr>
          <w:p>
            <w:pPr>
              <w:spacing w:after="0"/>
              <w:rPr>
                <w:sz w:val="17"/>
                <w:szCs w:val="17"/>
                <w:color w:val="auto"/>
              </w:rPr>
            </w:pPr>
          </w:p>
        </w:tc>
      </w:tr>
      <w:tr>
        <w:trPr>
          <w:trHeight w:val="222"/>
        </w:trPr>
        <w:tc>
          <w:tcPr>
            <w:tcW w:w="1720" w:type="dxa"/>
            <w:vAlign w:val="bottom"/>
          </w:tcPr>
          <w:p>
            <w:pPr>
              <w:ind w:left="660"/>
              <w:spacing w:after="0"/>
              <w:rPr>
                <w:sz w:val="20"/>
                <w:szCs w:val="20"/>
                <w:color w:val="auto"/>
              </w:rPr>
            </w:pPr>
            <w:r>
              <w:rPr>
                <w:rFonts w:ascii="Arial" w:cs="Arial" w:eastAsia="Arial" w:hAnsi="Arial"/>
                <w:sz w:val="18"/>
                <w:szCs w:val="18"/>
                <w:color w:val="auto"/>
              </w:rPr>
              <w:t>101.INS</w:t>
            </w:r>
          </w:p>
        </w:tc>
        <w:tc>
          <w:tcPr>
            <w:tcW w:w="9260" w:type="dxa"/>
            <w:vAlign w:val="bottom"/>
            <w:gridSpan w:val="5"/>
          </w:tcPr>
          <w:p>
            <w:pPr>
              <w:spacing w:after="0"/>
              <w:rPr>
                <w:sz w:val="20"/>
                <w:szCs w:val="20"/>
                <w:color w:val="auto"/>
              </w:rPr>
            </w:pPr>
            <w:r>
              <w:rPr>
                <w:rFonts w:ascii="Arial" w:cs="Arial" w:eastAsia="Arial" w:hAnsi="Arial"/>
                <w:sz w:val="18"/>
                <w:szCs w:val="18"/>
                <w:color w:val="auto"/>
              </w:rPr>
              <w:t>Inline XBRL Taxonomy Instance Document</w:t>
            </w: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101.SCH</w:t>
            </w:r>
          </w:p>
        </w:tc>
        <w:tc>
          <w:tcPr>
            <w:tcW w:w="926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101.CAL</w:t>
            </w:r>
          </w:p>
        </w:tc>
        <w:tc>
          <w:tcPr>
            <w:tcW w:w="926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101.DEF</w:t>
            </w:r>
          </w:p>
        </w:tc>
        <w:tc>
          <w:tcPr>
            <w:tcW w:w="926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101.LAB</w:t>
            </w:r>
          </w:p>
        </w:tc>
        <w:tc>
          <w:tcPr>
            <w:tcW w:w="926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720" w:type="dxa"/>
            <w:vAlign w:val="bottom"/>
          </w:tcPr>
          <w:p>
            <w:pPr>
              <w:ind w:left="660"/>
              <w:spacing w:after="0"/>
              <w:rPr>
                <w:sz w:val="20"/>
                <w:szCs w:val="20"/>
                <w:color w:val="auto"/>
              </w:rPr>
            </w:pPr>
            <w:r>
              <w:rPr>
                <w:rFonts w:ascii="Arial" w:cs="Arial" w:eastAsia="Arial" w:hAnsi="Arial"/>
                <w:sz w:val="18"/>
                <w:szCs w:val="18"/>
                <w:color w:val="auto"/>
              </w:rPr>
              <w:t>101.PRE</w:t>
            </w:r>
          </w:p>
        </w:tc>
        <w:tc>
          <w:tcPr>
            <w:tcW w:w="926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5480" w:right="2680" w:hanging="4824"/>
        <w:spacing w:after="0" w:line="511" w:lineRule="auto"/>
        <w:tabs>
          <w:tab w:leader="none" w:pos="17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580" w:right="599" w:bottom="1440" w:gutter="0" w:footer="0" w:header="0"/>
        </w:sectPr>
      </w:pPr>
    </w:p>
    <w:bookmarkStart w:id="32" w:name="page33"/>
    <w:bookmarkEnd w:id="32"/>
    <w:p>
      <w:pPr>
        <w:jc w:val="center"/>
        <w:ind w:right="-3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0" w:type="dxa"/>
            <w:vAlign w:val="bottom"/>
            <w:gridSpan w:val="4"/>
          </w:tcPr>
          <w:p>
            <w:pPr>
              <w:ind w:left="3500"/>
              <w:spacing w:after="0"/>
              <w:rPr>
                <w:sz w:val="20"/>
                <w:szCs w:val="20"/>
                <w:color w:val="auto"/>
              </w:rPr>
            </w:pPr>
            <w:r>
              <w:rPr>
                <w:rFonts w:ascii="Arial" w:cs="Arial" w:eastAsia="Arial" w:hAnsi="Arial"/>
                <w:sz w:val="18"/>
                <w:szCs w:val="18"/>
                <w:b w:val="1"/>
                <w:bCs w:val="1"/>
                <w:color w:val="auto"/>
              </w:rPr>
              <w:t>inTEST Corporation</w:t>
            </w:r>
          </w:p>
        </w:tc>
      </w:tr>
      <w:tr>
        <w:trPr>
          <w:trHeight w:val="82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May 11, 2023</w:t>
            </w:r>
          </w:p>
        </w:tc>
        <w:tc>
          <w:tcPr>
            <w:tcW w:w="3500" w:type="dxa"/>
            <w:vAlign w:val="bottom"/>
          </w:tcPr>
          <w:p>
            <w:pPr>
              <w:spacing w:after="0"/>
              <w:rPr>
                <w:sz w:val="24"/>
                <w:szCs w:val="24"/>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/s/ Richard N. Grant, Jr.</w:t>
            </w:r>
          </w:p>
        </w:tc>
        <w:tc>
          <w:tcPr>
            <w:tcW w:w="178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0" w:type="dxa"/>
            <w:vAlign w:val="bottom"/>
            <w:gridSpan w:val="4"/>
          </w:tcPr>
          <w:p>
            <w:pPr>
              <w:ind w:left="3500"/>
              <w:spacing w:after="0"/>
              <w:rPr>
                <w:sz w:val="20"/>
                <w:szCs w:val="20"/>
                <w:color w:val="auto"/>
              </w:rPr>
            </w:pPr>
            <w:r>
              <w:rPr>
                <w:rFonts w:ascii="Arial" w:cs="Arial" w:eastAsia="Arial" w:hAnsi="Arial"/>
                <w:sz w:val="18"/>
                <w:szCs w:val="18"/>
                <w:color w:val="auto"/>
              </w:rPr>
              <w:t>Richard N. Grant, Jr.</w:t>
            </w:r>
          </w:p>
        </w:tc>
      </w:tr>
      <w:tr>
        <w:trPr>
          <w:trHeight w:val="216"/>
        </w:trPr>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0" w:type="dxa"/>
            <w:vAlign w:val="bottom"/>
            <w:gridSpan w:val="4"/>
          </w:tcPr>
          <w:p>
            <w:pPr>
              <w:ind w:left="35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0" w:type="dxa"/>
            <w:vAlign w:val="bottom"/>
            <w:gridSpan w:val="4"/>
          </w:tcPr>
          <w:p>
            <w:pPr>
              <w:ind w:left="3500"/>
              <w:spacing w:after="0"/>
              <w:rPr>
                <w:sz w:val="20"/>
                <w:szCs w:val="20"/>
                <w:color w:val="auto"/>
              </w:rPr>
            </w:pPr>
            <w:r>
              <w:rPr>
                <w:rFonts w:ascii="Arial" w:cs="Arial" w:eastAsia="Arial" w:hAnsi="Arial"/>
                <w:sz w:val="18"/>
                <w:szCs w:val="18"/>
                <w:i w:val="1"/>
                <w:iCs w:val="1"/>
                <w:color w:val="auto"/>
              </w:rPr>
              <w:t>(Principal Executive Officer)</w:t>
            </w:r>
          </w:p>
        </w:tc>
      </w:tr>
      <w:tr>
        <w:trPr>
          <w:trHeight w:val="60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May 11, 2023</w:t>
            </w:r>
          </w:p>
        </w:tc>
        <w:tc>
          <w:tcPr>
            <w:tcW w:w="3500" w:type="dxa"/>
            <w:vAlign w:val="bottom"/>
          </w:tcPr>
          <w:p>
            <w:pPr>
              <w:spacing w:after="0"/>
              <w:rPr>
                <w:sz w:val="24"/>
                <w:szCs w:val="24"/>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Duncan Gilmour</w:t>
            </w:r>
          </w:p>
        </w:tc>
        <w:tc>
          <w:tcPr>
            <w:tcW w:w="2060" w:type="dxa"/>
            <w:vAlign w:val="bottom"/>
            <w:gridSpan w:val="2"/>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0" w:type="dxa"/>
            <w:vAlign w:val="bottom"/>
            <w:gridSpan w:val="4"/>
          </w:tcPr>
          <w:p>
            <w:pPr>
              <w:ind w:left="3500"/>
              <w:spacing w:after="0"/>
              <w:rPr>
                <w:sz w:val="20"/>
                <w:szCs w:val="20"/>
                <w:color w:val="auto"/>
              </w:rPr>
            </w:pPr>
            <w:r>
              <w:rPr>
                <w:rFonts w:ascii="Arial" w:cs="Arial" w:eastAsia="Arial" w:hAnsi="Arial"/>
                <w:sz w:val="18"/>
                <w:szCs w:val="18"/>
                <w:color w:val="auto"/>
              </w:rPr>
              <w:t>Duncan Gilmour</w:t>
            </w:r>
          </w:p>
        </w:tc>
      </w:tr>
      <w:tr>
        <w:trPr>
          <w:trHeight w:val="216"/>
        </w:trPr>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0" w:type="dxa"/>
            <w:vAlign w:val="bottom"/>
            <w:gridSpan w:val="4"/>
          </w:tcPr>
          <w:p>
            <w:pPr>
              <w:ind w:left="3500"/>
              <w:spacing w:after="0"/>
              <w:rPr>
                <w:sz w:val="20"/>
                <w:szCs w:val="20"/>
                <w:color w:val="auto"/>
              </w:rPr>
            </w:pPr>
            <w:r>
              <w:rPr>
                <w:rFonts w:ascii="Arial" w:cs="Arial" w:eastAsia="Arial" w:hAnsi="Arial"/>
                <w:sz w:val="18"/>
                <w:szCs w:val="18"/>
                <w:i w:val="1"/>
                <w:iCs w:val="1"/>
                <w:color w:val="auto"/>
                <w:w w:val="91"/>
              </w:rPr>
              <w:t>Chief Financial Officer, Treasurer and Secretary</w:t>
            </w:r>
          </w:p>
        </w:tc>
      </w:tr>
      <w:tr>
        <w:trPr>
          <w:trHeight w:val="230"/>
        </w:trPr>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0" w:type="dxa"/>
            <w:vAlign w:val="bottom"/>
            <w:gridSpan w:val="4"/>
          </w:tcPr>
          <w:p>
            <w:pPr>
              <w:ind w:left="3500"/>
              <w:spacing w:after="0"/>
              <w:rPr>
                <w:sz w:val="20"/>
                <w:szCs w:val="20"/>
                <w:color w:val="auto"/>
              </w:rPr>
            </w:pPr>
            <w:r>
              <w:rPr>
                <w:rFonts w:ascii="Arial" w:cs="Arial" w:eastAsia="Arial" w:hAnsi="Arial"/>
                <w:sz w:val="18"/>
                <w:szCs w:val="18"/>
                <w:i w:val="1"/>
                <w:iCs w:val="1"/>
                <w:color w:val="auto"/>
              </w:rPr>
              <w:t>(Principal Financial Officer)</w:t>
            </w:r>
          </w:p>
        </w:tc>
      </w:tr>
      <w:tr>
        <w:trPr>
          <w:trHeight w:val="648"/>
        </w:trPr>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40" w:type="dxa"/>
            <w:vAlign w:val="bottom"/>
            <w:gridSpan w:val="2"/>
          </w:tcPr>
          <w:p>
            <w:pPr>
              <w:jc w:val="right"/>
              <w:ind w:right="63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0920"/>
          </w:cols>
          <w:pgMar w:left="320" w:top="580" w:right="6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Richard N. Grant, Jr., certify that:</w:t>
      </w:r>
    </w:p>
    <w:p>
      <w:pPr>
        <w:spacing w:after="0" w:line="225"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3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20" w:firstLine="8"/>
        <w:spacing w:after="0" w:line="277"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00" w:firstLine="8"/>
        <w:spacing w:after="0" w:line="263"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right="180" w:hanging="8"/>
        <w:spacing w:after="0" w:line="263" w:lineRule="auto"/>
        <w:tabs>
          <w:tab w:leader="none" w:pos="6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400" w:hanging="8"/>
        <w:spacing w:after="0" w:line="263"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940" w:hanging="8"/>
        <w:spacing w:after="0" w:line="342" w:lineRule="auto"/>
        <w:tabs>
          <w:tab w:leader="none" w:pos="63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340" w:right="420" w:hanging="8"/>
        <w:spacing w:after="0" w:line="263"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360" w:firstLine="8"/>
        <w:spacing w:after="0" w:line="308" w:lineRule="auto"/>
        <w:tabs>
          <w:tab w:leader="none" w:pos="3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hanging="8"/>
        <w:spacing w:after="0" w:line="277" w:lineRule="auto"/>
        <w:tabs>
          <w:tab w:leader="none" w:pos="6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hanging="8"/>
        <w:spacing w:after="0" w:line="277"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11,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/s/ Richard N. Grant, Jr.</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Richard N. Grant, Jr.</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3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Duncan Gilmour, certify that:</w:t>
      </w:r>
    </w:p>
    <w:p>
      <w:pPr>
        <w:spacing w:after="0" w:line="225"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3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20" w:firstLine="8"/>
        <w:spacing w:after="0" w:line="277"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00" w:firstLine="8"/>
        <w:spacing w:after="0" w:line="263"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right="180" w:hanging="8"/>
        <w:spacing w:after="0" w:line="263" w:lineRule="auto"/>
        <w:tabs>
          <w:tab w:leader="none" w:pos="6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400" w:hanging="8"/>
        <w:spacing w:after="0" w:line="263" w:lineRule="auto"/>
        <w:tabs>
          <w:tab w:leader="none" w:pos="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940" w:hanging="8"/>
        <w:spacing w:after="0" w:line="342" w:lineRule="auto"/>
        <w:tabs>
          <w:tab w:leader="none" w:pos="63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340" w:right="420" w:hanging="8"/>
        <w:spacing w:after="0" w:line="263" w:lineRule="auto"/>
        <w:tabs>
          <w:tab w:leader="none" w:pos="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360" w:firstLine="8"/>
        <w:spacing w:after="0" w:line="308" w:lineRule="auto"/>
        <w:tabs>
          <w:tab w:leader="none" w:pos="3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hanging="8"/>
        <w:spacing w:after="0" w:line="277" w:lineRule="auto"/>
        <w:tabs>
          <w:tab w:leader="none" w:pos="6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hanging="8"/>
        <w:spacing w:after="0" w:line="277" w:lineRule="auto"/>
        <w:tabs>
          <w:tab w:leader="none" w:pos="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11,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/s/Duncan Gilmour</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Duncan Gilmour</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Chief Financial Officer, Treasurer and Secretary</w:t>
      </w:r>
    </w:p>
    <w:p>
      <w:pPr>
        <w:sectPr>
          <w:pgSz w:w="11900" w:h="16838" w:orient="portrait"/>
          <w:cols w:equalWidth="0" w:num="1">
            <w:col w:w="11240"/>
          </w:cols>
          <w:pgMar w:left="320" w:top="33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ended March 31, 2023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620" w:hanging="612"/>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May 11, 2023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Richard N. Grant, Jr.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Richard N. Grant,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3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ended March 31, 2023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spacing w:after="0" w:line="165"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May 11, 2023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Duncan Gilmour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Duncan Gilmour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 Treasurer and Secretary</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lvl w:ilvl="1">
      <w:lvlJc w:val="left"/>
      <w:lvlText w:val="-"/>
      <w:numFmt w:val="bullet"/>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lvl w:ilvl="1">
      <w:lvlJc w:val="left"/>
      <w:lvlText w:val="-"/>
      <w:numFmt w:val="bullet"/>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decimal"/>
      <w:start w:val="11"/>
    </w:lvl>
    <w:lvl w:ilvl="1">
      <w:lvlJc w:val="left"/>
      <w:lvlText w:val="-"/>
      <w:numFmt w:val="bullet"/>
      <w:start w:val="1"/>
    </w:lvl>
  </w:abstractNum>
  <w:abstractNum w:abstractNumId="12">
    <w:nsid w:val="6B68079A"/>
    <w:multiLevelType w:val="hybridMultilevel"/>
    <w:lvl w:ilvl="0">
      <w:lvlJc w:val="left"/>
      <w:lvlText w:val="(%1)"/>
      <w:numFmt w:val="decimal"/>
      <w:start w:val="13"/>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2023-05-11T05:36:17Z</dcterms:created>
  <dcterms:modified xsi:type="dcterms:W3CDTF">2023-05-11T05:36:17Z</dcterms:modified>
</cp:coreProperties>
</file>