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18"/>
        </w:rPr>
      </w:pPr>
      <w:r>
        <w:rPr>
          <w:rFonts w:ascii="Arial;sans-serif" w:hAnsi="Arial;sans-serif"/>
          <w:b/>
          <w:color w:val="000000"/>
          <w:sz w:val="18"/>
        </w:rPr>
        <w:t xml:space="preserve">UNITED STATES 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18"/>
        </w:rPr>
      </w:pPr>
      <w:r>
        <w:rPr>
          <w:rFonts w:ascii="Arial;sans-serif" w:hAnsi="Arial;sans-serif"/>
          <w:b/>
          <w:color w:val="000000"/>
          <w:sz w:val="18"/>
        </w:rPr>
        <w:t xml:space="preserve">SECURITIES AND EXCHANGE COMMISSION 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18"/>
        </w:rPr>
      </w:pPr>
      <w:r>
        <w:rPr>
          <w:rFonts w:ascii="Arial;sans-serif" w:hAnsi="Arial;sans-serif"/>
          <w:b/>
          <w:color w:val="000000"/>
          <w:sz w:val="18"/>
        </w:rPr>
        <w:t xml:space="preserve">Washington, D.C. 20549 </w:t>
      </w:r>
    </w:p>
    <w:p>
      <w:pPr>
        <w:pStyle w:val="TextBody"/>
        <w:bidi w:val="0"/>
        <w:spacing w:lineRule="auto" w:line="288" w:before="220" w:after="283"/>
        <w:jc w:val="center"/>
        <w:rPr>
          <w:rFonts w:ascii="Arial;sans-serif" w:hAnsi="Arial;sans-serif"/>
          <w:b/>
          <w:color w:val="000000"/>
          <w:sz w:val="18"/>
        </w:rPr>
      </w:pPr>
      <w:r>
        <w:rPr>
          <w:rFonts w:ascii="Arial;sans-serif" w:hAnsi="Arial;sans-serif"/>
          <w:b/>
          <w:color w:val="000000"/>
          <w:sz w:val="18"/>
        </w:rPr>
        <w:t xml:space="preserve">SCHEDULE 14A 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 xml:space="preserve">Proxy Statement Pursuant to Section 14(a) of the Securities Exchange Act of 1934 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 xml:space="preserve">(Amendment No.) 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452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85"/>
        <w:gridCol w:w="1215"/>
        <w:gridCol w:w="1224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3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8"/>
              </w:rPr>
            </w:pPr>
            <w:r>
              <w:rPr>
                <w:rFonts w:ascii="Arial;sans-serif" w:hAnsi="Arial;sans-serif"/>
                <w:b w:val="false"/>
                <w:color w:val="000000"/>
                <w:sz w:val="18"/>
              </w:rPr>
              <w:t>Filed by the Registrant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3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9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Arial;sans-serif" w:hAnsi="Arial;sans-serif"/>
                <w:b w:val="false"/>
                <w:color w:val="000000"/>
                <w:sz w:val="18"/>
              </w:rPr>
            </w:pPr>
            <w:r>
              <w:rPr>
                <w:rFonts w:ascii="Arial;sans-serif" w:hAnsi="Arial;sans-serif"/>
                <w:b w:val="false"/>
                <w:color w:val="000000"/>
                <w:sz w:val="18"/>
              </w:rPr>
              <w:t>Filed by a Party other than the Registrant   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</w:tbl>
    <w:p>
      <w:pPr>
        <w:pStyle w:val="TextBody"/>
        <w:bidi w:val="0"/>
        <w:spacing w:lineRule="auto" w:line="288" w:before="220" w:after="283"/>
        <w:jc w:val="left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 xml:space="preserve">Check the appropriate box: 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802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2"/>
        <w:gridCol w:w="258"/>
        <w:gridCol w:w="260"/>
        <w:gridCol w:w="109"/>
        <w:gridCol w:w="109"/>
        <w:gridCol w:w="109"/>
        <w:gridCol w:w="2012"/>
        <w:gridCol w:w="2012"/>
        <w:gridCol w:w="2860"/>
      </w:tblGrid>
      <w:tr>
        <w:trPr/>
        <w:tc>
          <w:tcPr>
            <w:tcW w:w="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☐  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8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8"/>
              </w:rPr>
            </w:pPr>
            <w:r>
              <w:rPr>
                <w:rFonts w:ascii="Arial;sans-serif" w:hAnsi="Arial;sans-serif"/>
                <w:b w:val="false"/>
                <w:color w:val="000000"/>
                <w:sz w:val="18"/>
              </w:rPr>
              <w:t>Preliminary Proxy Statement</w:t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8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/>
                <w:color w:val="000000"/>
                <w:sz w:val="18"/>
              </w:rPr>
            </w:pPr>
            <w:r>
              <w:rPr>
                <w:rFonts w:ascii="Arial;sans-serif" w:hAnsi="Arial;sans-serif"/>
                <w:b/>
                <w:color w:val="000000"/>
                <w:sz w:val="18"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8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8"/>
              </w:rPr>
            </w:pPr>
            <w:r>
              <w:rPr>
                <w:rFonts w:ascii="Arial;sans-serif" w:hAnsi="Arial;sans-serif"/>
                <w:b w:val="false"/>
                <w:color w:val="000000"/>
                <w:sz w:val="18"/>
              </w:rPr>
              <w:t>Definitive Proxy Statement</w:t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8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8"/>
              </w:rPr>
            </w:pPr>
            <w:r>
              <w:rPr>
                <w:rFonts w:ascii="Arial;sans-serif" w:hAnsi="Arial;sans-serif"/>
                <w:b w:val="false"/>
                <w:color w:val="000000"/>
                <w:sz w:val="18"/>
              </w:rPr>
              <w:t>Definitive Additional Materials</w:t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8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8"/>
              </w:rPr>
            </w:pPr>
            <w:r>
              <w:rPr>
                <w:rFonts w:ascii="Arial;sans-serif" w:hAnsi="Arial;sans-serif"/>
                <w:b w:val="false"/>
                <w:color w:val="000000"/>
                <w:sz w:val="18"/>
              </w:rPr>
              <w:t>Soliciting Material Pursuant to § 240.14a-12</w:t>
            </w:r>
          </w:p>
        </w:tc>
      </w:tr>
    </w:tbl>
    <w:p>
      <w:pPr>
        <w:pStyle w:val="TextBody"/>
        <w:bidi w:val="0"/>
        <w:spacing w:lineRule="auto" w:line="288" w:before="220" w:after="283"/>
        <w:jc w:val="center"/>
        <w:rPr>
          <w:rFonts w:ascii="Arial;sans-serif" w:hAnsi="Arial;sans-serif"/>
          <w:b/>
          <w:color w:val="000000"/>
          <w:sz w:val="18"/>
        </w:rPr>
      </w:pPr>
      <w:r>
        <w:rPr>
          <w:rFonts w:ascii="Arial;sans-serif" w:hAnsi="Arial;sans-serif"/>
          <w:b/>
          <w:color w:val="000000"/>
          <w:sz w:val="18"/>
        </w:rPr>
        <w:t xml:space="preserve">InTest Corporation 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 xml:space="preserve">(Name of Registrant as Specified In Its Charter) </w:t>
      </w:r>
    </w:p>
    <w:p>
      <w:pPr>
        <w:pStyle w:val="TextBody"/>
        <w:bidi w:val="0"/>
        <w:spacing w:lineRule="auto" w:line="288" w:before="220" w:after="283"/>
        <w:jc w:val="center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 xml:space="preserve">(Name of Person(s) Filing Proxy Statement, if Other Than the Registrant) </w:t>
      </w:r>
    </w:p>
    <w:p>
      <w:pPr>
        <w:pStyle w:val="TextBody"/>
        <w:bidi w:val="0"/>
        <w:spacing w:lineRule="auto" w:line="288" w:before="220" w:after="283"/>
        <w:jc w:val="left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 xml:space="preserve">Payment of Filing Fee (Check all boxes that apply): 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95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2"/>
        <w:gridCol w:w="258"/>
        <w:gridCol w:w="260"/>
        <w:gridCol w:w="109"/>
        <w:gridCol w:w="109"/>
        <w:gridCol w:w="109"/>
        <w:gridCol w:w="2456"/>
        <w:gridCol w:w="2456"/>
        <w:gridCol w:w="3487"/>
      </w:tblGrid>
      <w:tr>
        <w:trPr/>
        <w:tc>
          <w:tcPr>
            <w:tcW w:w="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6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☒  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3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8"/>
              </w:rPr>
            </w:pPr>
            <w:r>
              <w:rPr>
                <w:rFonts w:ascii="Arial;sans-serif" w:hAnsi="Arial;sans-serif"/>
                <w:b w:val="false"/>
                <w:color w:val="000000"/>
                <w:sz w:val="18"/>
              </w:rPr>
              <w:t>No fee required.</w:t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6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3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8"/>
              </w:rPr>
            </w:pPr>
            <w:r>
              <w:rPr>
                <w:rFonts w:ascii="Arial;sans-serif" w:hAnsi="Arial;sans-serif"/>
                <w:b w:val="false"/>
                <w:color w:val="000000"/>
                <w:sz w:val="18"/>
              </w:rPr>
              <w:t>Fee paid previously with preliminary materials.</w:t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6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3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8"/>
              </w:rPr>
            </w:pPr>
            <w:r>
              <w:rPr>
                <w:rFonts w:ascii="Arial;sans-serif" w:hAnsi="Arial;sans-serif"/>
                <w:b w:val="false"/>
                <w:color w:val="000000"/>
                <w:sz w:val="18"/>
              </w:rPr>
              <w:t>Fee computed on table in exhibit required by Item 25(b) per Exchange Act Rules 14a-6(i)(1) and 0-11.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1089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1"/>
        <w:gridCol w:w="739"/>
        <w:gridCol w:w="739"/>
        <w:gridCol w:w="739"/>
        <w:gridCol w:w="739"/>
        <w:gridCol w:w="744"/>
        <w:gridCol w:w="109"/>
        <w:gridCol w:w="109"/>
        <w:gridCol w:w="109"/>
        <w:gridCol w:w="815"/>
        <w:gridCol w:w="815"/>
        <w:gridCol w:w="815"/>
        <w:gridCol w:w="1610"/>
        <w:gridCol w:w="815"/>
        <w:gridCol w:w="1156"/>
      </w:tblGrid>
      <w:tr>
        <w:trPr/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right"/>
              <w:rPr/>
            </w:pPr>
            <w:r>
              <w:rPr/>
              <w:drawing>
                <wp:inline distT="0" distB="0" distL="0" distR="0">
                  <wp:extent cx="3238500" cy="2628900"/>
                  <wp:effectExtent l="0" t="0" r="0" b="0"/>
                  <wp:docPr id="2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54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19400" cy="381000"/>
                  <wp:effectExtent l="0" t="0" r="0" b="0"/>
                  <wp:docPr id="3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2"/>
              </w:rPr>
            </w:pPr>
            <w:r>
              <w:rPr>
                <w:rFonts w:ascii="Arial;sans-serif" w:hAnsi="Arial;sans-serif"/>
                <w:b w:val="false"/>
                <w:color w:val="000000"/>
                <w:sz w:val="12"/>
              </w:rPr>
              <w:t>P.O. BOX 8016, CARY, NC 27512-9903</w:t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541" w:type="dxa"/>
            <w:gridSpan w:val="6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/>
                <w:color w:val="C02026"/>
                <w:sz w:val="64"/>
              </w:rPr>
            </w:pPr>
            <w:r>
              <w:rPr>
                <w:rFonts w:ascii="Arial;sans-serif" w:hAnsi="Arial;sans-serif"/>
                <w:b/>
                <w:color w:val="C02026"/>
                <w:sz w:val="64"/>
              </w:rPr>
              <w:t>Your Vote Matters!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541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r>
              <w:rPr>
                <w:rFonts w:ascii="Arial;sans-serif" w:hAnsi="Arial;sans-serif"/>
                <w:b/>
                <w:color w:val="000000"/>
                <w:sz w:val="16"/>
              </w:rPr>
              <w:t>Meeting Materials</w:t>
            </w: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: Notice of Meeting and Proxy Statement &amp; Annual Report including Form 10-K</w:t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/>
                <w:color w:val="C02026"/>
                <w:sz w:val="18"/>
              </w:rPr>
            </w:pPr>
            <w:r>
              <w:rPr>
                <w:rFonts w:ascii="Arial;sans-serif" w:hAnsi="Arial;sans-serif"/>
                <w:b/>
                <w:color w:val="C02026"/>
                <w:sz w:val="18"/>
              </w:rPr>
              <w:t>Important Notice Regarding the Availability of Proxy Materials for the Stockholders Meeting To Be Held On June 17, 2026 For Stockholders of Record as of April 20, 2026</w:t>
            </w:r>
          </w:p>
        </w:tc>
      </w:tr>
      <w:tr>
        <w:trPr/>
        <w:tc>
          <w:tcPr>
            <w:tcW w:w="454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/>
                <w:color w:val="C02026"/>
                <w:sz w:val="28"/>
              </w:rPr>
            </w:pPr>
            <w:r>
              <w:rPr>
                <w:rFonts w:ascii="Arial;sans-serif" w:hAnsi="Arial;sans-serif"/>
                <w:b/>
                <w:color w:val="C02026"/>
                <w:sz w:val="28"/>
              </w:rPr>
              <w:t>InTest Corporation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541" w:type="dxa"/>
            <w:gridSpan w:val="6"/>
            <w:tcBorders/>
            <w:shd w:fill="C02026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/>
                <w:color w:val="FFFFFF"/>
                <w:sz w:val="28"/>
              </w:rPr>
            </w:pPr>
            <w:r>
              <w:rPr>
                <w:rFonts w:ascii="Arial;sans-serif" w:hAnsi="Arial;sans-serif"/>
                <w:b/>
                <w:color w:val="FFFFFF"/>
                <w:sz w:val="28"/>
              </w:rPr>
              <w:t>Annual Meeting of Stockholders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4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6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/>
                <w:color w:val="000000"/>
                <w:sz w:val="18"/>
              </w:rPr>
            </w:pPr>
            <w:r>
              <w:rPr>
                <w:rFonts w:ascii="Arial;sans-serif" w:hAnsi="Arial;sans-serif"/>
                <w:b/>
                <w:color w:val="000000"/>
                <w:sz w:val="18"/>
              </w:rPr>
              <w:t>To order paper materials, use one of the following methods.</w:t>
            </w:r>
          </w:p>
        </w:tc>
      </w:tr>
      <w:tr>
        <w:trPr/>
        <w:tc>
          <w:tcPr>
            <w:tcW w:w="454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 w:val="false"/>
                <w:color w:val="C02026"/>
                <w:sz w:val="16"/>
              </w:rPr>
            </w:pPr>
            <w:r>
              <w:rPr>
                <w:rFonts w:ascii="Arial;sans-serif" w:hAnsi="Arial;sans-serif"/>
                <w:b w:val="false"/>
                <w:color w:val="C02026"/>
                <w:sz w:val="16"/>
              </w:rPr>
              <w:t>Wednesday, June 17, 2026 11:00 AM, Eastern Time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4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 w:val="false"/>
                <w:color w:val="C02026"/>
                <w:sz w:val="16"/>
              </w:rPr>
            </w:pPr>
            <w:r>
              <w:rPr>
                <w:rFonts w:ascii="Arial;sans-serif" w:hAnsi="Arial;sans-serif"/>
                <w:b w:val="false"/>
                <w:color w:val="C02026"/>
                <w:sz w:val="16"/>
              </w:rPr>
              <w:t xml:space="preserve">Annual meeting to be held virtually via the internet - please visit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4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 w:val="false"/>
                <w:color w:val="C02026"/>
                <w:sz w:val="16"/>
              </w:rPr>
            </w:pPr>
            <w:r>
              <w:rPr>
                <w:rFonts w:ascii="Arial;sans-serif" w:hAnsi="Arial;sans-serif"/>
                <w:b w:val="false"/>
                <w:color w:val="C02026"/>
                <w:sz w:val="16"/>
              </w:rPr>
              <w:t>www.proxydocs.com/INTT for more details.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drawing>
                <wp:inline distT="0" distB="0" distL="0" distR="0">
                  <wp:extent cx="400050" cy="352425"/>
                  <wp:effectExtent l="0" t="0" r="0" b="0"/>
                  <wp:docPr id="4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entury Gothic;sans-serif" w:hAnsi="Century Gothic;sans-serif"/>
                <w:b/>
                <w:color w:val="C02026"/>
                <w:sz w:val="20"/>
              </w:rPr>
            </w:pPr>
            <w:r>
              <w:rPr>
                <w:rFonts w:ascii="Century Gothic;sans-serif" w:hAnsi="Century Gothic;sans-serif"/>
                <w:b/>
                <w:color w:val="C02026"/>
                <w:sz w:val="20"/>
              </w:rPr>
              <w:t>Internet:</w:t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entury Gothic;sans-serif" w:hAnsi="Century Gothic;sans-serif"/>
                <w:b/>
                <w:color w:val="000000"/>
                <w:sz w:val="20"/>
              </w:rPr>
            </w:pPr>
            <w:r>
              <w:rPr>
                <w:rFonts w:ascii="Century Gothic;sans-serif" w:hAnsi="Century Gothic;sans-serif"/>
                <w:b/>
                <w:color w:val="000000"/>
                <w:sz w:val="20"/>
              </w:rPr>
              <w:t>www.investorelections.com/INTT</w:t>
            </w:r>
          </w:p>
        </w:tc>
      </w:tr>
      <w:tr>
        <w:trPr/>
        <w:tc>
          <w:tcPr>
            <w:tcW w:w="454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/>
                <w:color w:val="000000"/>
                <w:sz w:val="16"/>
              </w:rPr>
            </w:pPr>
            <w:r>
              <w:rPr>
                <w:rFonts w:ascii="Arial;sans-serif" w:hAnsi="Arial;sans-serif"/>
                <w:b/>
                <w:color w:val="000000"/>
                <w:sz w:val="16"/>
              </w:rPr>
              <w:t>You must register to attend the meeting online and/or participate at www.proxydocs.com/INTT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18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18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9" w:type="dxa"/>
            <w:gridSpan w:val="3"/>
            <w:tcBorders>
              <w:top w:val="single" w:sz="8" w:space="0" w:color="C0202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>
              <w:top w:val="single" w:sz="8" w:space="0" w:color="C0202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drawing>
                <wp:inline distT="0" distB="0" distL="0" distR="0">
                  <wp:extent cx="285750" cy="409575"/>
                  <wp:effectExtent l="0" t="0" r="0" b="0"/>
                  <wp:docPr id="5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entury Gothic;sans-serif" w:hAnsi="Century Gothic;sans-serif"/>
                <w:b/>
                <w:color w:val="C02026"/>
                <w:sz w:val="20"/>
              </w:rPr>
            </w:pPr>
            <w:r>
              <w:rPr>
                <w:rFonts w:ascii="Century Gothic;sans-serif" w:hAnsi="Century Gothic;sans-serif"/>
                <w:b/>
                <w:color w:val="C02026"/>
                <w:sz w:val="20"/>
              </w:rPr>
              <w:t>Phone:</w:t>
            </w:r>
          </w:p>
        </w:tc>
      </w:tr>
      <w:tr>
        <w:trPr/>
        <w:tc>
          <w:tcPr>
            <w:tcW w:w="4541" w:type="dxa"/>
            <w:gridSpan w:val="6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/>
                <w:color w:val="000000"/>
                <w:sz w:val="20"/>
              </w:rPr>
            </w:pPr>
            <w:r>
              <w:rPr>
                <w:rFonts w:ascii="Arial;sans-serif" w:hAnsi="Arial;sans-serif"/>
                <w:b/>
                <w:color w:val="000000"/>
                <w:sz w:val="20"/>
              </w:rPr>
              <w:t>For a convenient way to view proxy materials, VOTE, and obtain directions to attend the meeting go to www.proxydocs.com/INTT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entury Gothic;sans-serif" w:hAnsi="Century Gothic;sans-serif"/>
                <w:b/>
                <w:color w:val="000000"/>
                <w:sz w:val="20"/>
              </w:rPr>
            </w:pPr>
            <w:r>
              <w:rPr>
                <w:rFonts w:ascii="Century Gothic;sans-serif" w:hAnsi="Century Gothic;sans-serif"/>
                <w:b/>
                <w:color w:val="000000"/>
                <w:sz w:val="20"/>
              </w:rPr>
              <w:t>1-866-648-8133</w:t>
            </w:r>
          </w:p>
        </w:tc>
      </w:tr>
      <w:tr>
        <w:trPr/>
        <w:tc>
          <w:tcPr>
            <w:tcW w:w="4541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18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41" w:type="dxa"/>
            <w:gridSpan w:val="6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/>
                <w:color w:val="000000"/>
                <w:sz w:val="20"/>
              </w:rPr>
            </w:pPr>
            <w:r>
              <w:rPr>
                <w:rFonts w:ascii="Arial;sans-serif" w:hAnsi="Arial;sans-serif"/>
                <w:b/>
                <w:color w:val="000000"/>
                <w:sz w:val="20"/>
              </w:rPr>
              <w:t>To vote your proxy while visiting this site, you will need the 12 digit control number in the box below.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drawing>
                <wp:inline distT="0" distB="0" distL="0" distR="0">
                  <wp:extent cx="361950" cy="361950"/>
                  <wp:effectExtent l="0" t="0" r="0" b="0"/>
                  <wp:docPr id="6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entury Gothic;sans-serif" w:hAnsi="Century Gothic;sans-serif"/>
                <w:b/>
                <w:color w:val="C02026"/>
                <w:sz w:val="20"/>
              </w:rPr>
            </w:pPr>
            <w:r>
              <w:rPr>
                <w:rFonts w:ascii="Century Gothic;sans-serif" w:hAnsi="Century Gothic;sans-serif"/>
                <w:b/>
                <w:color w:val="C02026"/>
                <w:sz w:val="20"/>
              </w:rPr>
              <w:t>E-Mail:</w:t>
            </w:r>
          </w:p>
        </w:tc>
      </w:tr>
      <w:tr>
        <w:trPr/>
        <w:tc>
          <w:tcPr>
            <w:tcW w:w="4541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Century Gothic;sans-serif" w:hAnsi="Century Gothic;sans-serif"/>
                <w:b/>
                <w:color w:val="000000"/>
                <w:sz w:val="20"/>
              </w:rPr>
            </w:pPr>
            <w:r>
              <w:rPr>
                <w:rFonts w:ascii="Century Gothic;sans-serif" w:hAnsi="Century Gothic;sans-serif"/>
                <w:b/>
                <w:color w:val="000000"/>
                <w:sz w:val="20"/>
              </w:rPr>
              <w:t>paper@investorelections.com</w:t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* If requesting material by e-mail, please send a blank e-mail with the 12 digit control number (located below) in the subject line. No other requests, instructions OR other inquiries should be included with your e-mail requesting material.</w:t>
            </w:r>
          </w:p>
        </w:tc>
      </w:tr>
      <w:tr>
        <w:trPr/>
        <w:tc>
          <w:tcPr>
            <w:tcW w:w="454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This communication presents only an overview of the more complete proxy materials that are available to you on the Internet. This is not a ballot. You cannot use this notice to vote your shares. We encourage you to access and review all of the important information contained in the proxy materials before voting.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4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Under United States Securities and Exchange Commission rules, proxy materials do not have to be delivered in paper. Proxy materials can be distributed by making them available on the internet.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4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If you want to receive a paper or e-mail copy of the proxy material, you must request one. There is no charge to you for requesting a copy. In order to receive a paper package in time for this year’s meeting, you must make this request on or before June 5, 2026.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190750" cy="447675"/>
                  <wp:effectExtent l="0" t="0" r="0" b="0"/>
                  <wp:docPr id="7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54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Have the 12 digit control number located in the box above available when you access the website and follow the instructions.</w:t>
            </w:r>
          </w:p>
        </w:tc>
      </w:tr>
      <w:tr>
        <w:trPr/>
        <w:tc>
          <w:tcPr>
            <w:tcW w:w="231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4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/>
                <w:color w:val="000000"/>
                <w:sz w:val="20"/>
              </w:rPr>
            </w:pPr>
            <w:r>
              <w:rPr>
                <w:rFonts w:ascii="Arial;sans-serif" w:hAnsi="Arial;sans-serif"/>
                <w:b/>
                <w:color w:val="000000"/>
                <w:sz w:val="20"/>
              </w:rPr>
              <w:t>SEE REVERSE FOR FULL AGENDA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8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1016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86"/>
        <w:gridCol w:w="778"/>
        <w:gridCol w:w="778"/>
        <w:gridCol w:w="778"/>
        <w:gridCol w:w="778"/>
        <w:gridCol w:w="784"/>
        <w:gridCol w:w="114"/>
        <w:gridCol w:w="114"/>
        <w:gridCol w:w="114"/>
        <w:gridCol w:w="812"/>
        <w:gridCol w:w="812"/>
        <w:gridCol w:w="812"/>
        <w:gridCol w:w="812"/>
        <w:gridCol w:w="812"/>
        <w:gridCol w:w="827"/>
        <w:gridCol w:w="154"/>
      </w:tblGrid>
      <w:tr>
        <w:trPr/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82" w:type="dxa"/>
            <w:gridSpan w:val="6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19400" cy="381000"/>
                  <wp:effectExtent l="0" t="0" r="0" b="0"/>
                  <wp:docPr id="9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87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right"/>
              <w:rPr>
                <w:rFonts w:ascii="Arial;sans-serif" w:hAnsi="Arial;sans-serif"/>
                <w:b/>
                <w:color w:val="C02026"/>
                <w:sz w:val="20"/>
              </w:rPr>
            </w:pPr>
            <w:r>
              <w:rPr>
                <w:rFonts w:ascii="Arial;sans-serif" w:hAnsi="Arial;sans-serif"/>
                <w:b/>
                <w:color w:val="C02026"/>
                <w:sz w:val="20"/>
              </w:rPr>
              <w:t>InTest Corporation Annual Meeting of Stockholders</w:t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82" w:type="dxa"/>
            <w:gridSpan w:val="6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82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24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;sans-serif" w:hAnsi="Arial;sans-serif"/>
                <w:b/>
                <w:color w:val="000000"/>
                <w:sz w:val="20"/>
              </w:rPr>
            </w:pPr>
            <w:r>
              <w:rPr>
                <w:rFonts w:ascii="Arial;sans-serif" w:hAnsi="Arial;sans-serif"/>
                <w:b/>
                <w:color w:val="000000"/>
                <w:sz w:val="20"/>
              </w:rPr>
              <w:t>THE BOARD OF DIRECTORS RECOMMENDS A VOTE:</w:t>
            </w:r>
          </w:p>
        </w:tc>
        <w:tc>
          <w:tcPr>
            <w:tcW w:w="243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82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r>
              <w:rPr>
                <w:rFonts w:ascii="Arial;sans-serif" w:hAnsi="Arial;sans-serif"/>
                <w:b/>
                <w:color w:val="000000"/>
                <w:sz w:val="20"/>
              </w:rPr>
              <w:t>FOR</w:t>
            </w:r>
            <w:r>
              <w:rPr>
                <w:color w:val="000000"/>
              </w:rPr>
              <w:t xml:space="preserve"> </w:t>
            </w: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ON PROPOSALS 1, 2, 3 AND 4</w:t>
            </w:r>
          </w:p>
        </w:tc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drawing>
                <wp:inline distT="0" distB="0" distL="0" distR="0">
                  <wp:extent cx="4371975" cy="3924300"/>
                  <wp:effectExtent l="0" t="0" r="0" b="0"/>
                  <wp:docPr id="10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392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11" w:type="dxa"/>
            <w:gridSpan w:val="15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1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Century Gothic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2.jpeg"/><Relationship Id="rId9" Type="http://schemas.openxmlformats.org/officeDocument/2006/relationships/image" Target="media/image7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503</Words>
  <Characters>2654</Characters>
  <CharactersWithSpaces>3130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