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135890</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2011</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3776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440" w:type="dxa"/>
            <w:vAlign w:val="bottom"/>
            <w:gridSpan w:val="2"/>
          </w:tcPr>
          <w:p>
            <w:pPr>
              <w:ind w:left="22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2011:</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10,386,927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8480" w:type="dxa"/>
            <w:vAlign w:val="bottom"/>
          </w:tcPr>
          <w:p>
            <w:pPr>
              <w:ind w:left="4720"/>
              <w:spacing w:after="0"/>
              <w:rPr>
                <w:sz w:val="20"/>
                <w:szCs w:val="20"/>
                <w:color w:val="auto"/>
              </w:rPr>
            </w:pPr>
            <w:r>
              <w:rPr>
                <w:rFonts w:ascii="Arial" w:cs="Arial" w:eastAsia="Arial" w:hAnsi="Arial"/>
                <w:sz w:val="18"/>
                <w:szCs w:val="18"/>
                <w:b w:val="1"/>
                <w:bCs w:val="1"/>
                <w:color w:val="auto"/>
              </w:rPr>
              <w:t>inTEST CORPORATION</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8480" w:type="dxa"/>
            <w:vAlign w:val="bottom"/>
          </w:tcPr>
          <w:p>
            <w:pPr>
              <w:ind w:left="542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84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8480" w:type="dxa"/>
            <w:vAlign w:val="bottom"/>
          </w:tcPr>
          <w:p>
            <w:pPr>
              <w:spacing w:after="0"/>
              <w:rPr>
                <w:sz w:val="17"/>
                <w:szCs w:val="17"/>
                <w:color w:val="auto"/>
              </w:rPr>
            </w:pPr>
          </w:p>
        </w:tc>
        <w:tc>
          <w:tcPr>
            <w:tcW w:w="900" w:type="dxa"/>
            <w:vAlign w:val="bottom"/>
            <w:gridSpan w:val="2"/>
          </w:tcPr>
          <w:p>
            <w:pPr>
              <w:jc w:val="center"/>
              <w:ind w:left="45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848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5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8480" w:type="dxa"/>
            <w:vAlign w:val="bottom"/>
          </w:tcPr>
          <w:p>
            <w:pPr>
              <w:ind w:left="780"/>
              <w:spacing w:after="0"/>
              <w:rPr>
                <w:sz w:val="20"/>
                <w:szCs w:val="20"/>
                <w:color w:val="auto"/>
              </w:rPr>
            </w:pPr>
            <w:r>
              <w:rPr>
                <w:rFonts w:ascii="Arial" w:cs="Arial" w:eastAsia="Arial" w:hAnsi="Arial"/>
                <w:sz w:val="18"/>
                <w:szCs w:val="18"/>
                <w:color w:val="auto"/>
              </w:rPr>
              <w:t>Consolidated Balance Sheets as of June 30, 2011 (Unaudited) and December 31, 2010</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1</w:t>
            </w:r>
          </w:p>
        </w:tc>
      </w:tr>
      <w:tr>
        <w:trPr>
          <w:trHeight w:val="237"/>
        </w:trPr>
        <w:tc>
          <w:tcPr>
            <w:tcW w:w="8480" w:type="dxa"/>
            <w:vAlign w:val="bottom"/>
          </w:tcPr>
          <w:p>
            <w:pPr>
              <w:ind w:left="780"/>
              <w:spacing w:after="0"/>
              <w:rPr>
                <w:sz w:val="20"/>
                <w:szCs w:val="20"/>
                <w:color w:val="auto"/>
              </w:rPr>
            </w:pPr>
            <w:r>
              <w:rPr>
                <w:rFonts w:ascii="Arial" w:cs="Arial" w:eastAsia="Arial" w:hAnsi="Arial"/>
                <w:sz w:val="18"/>
                <w:szCs w:val="18"/>
                <w:color w:val="auto"/>
                <w:w w:val="93"/>
              </w:rPr>
              <w:t>Unaudited Consolidated Statements of Operations for the three months and six months ended June 30,</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480" w:type="dxa"/>
            <w:vAlign w:val="bottom"/>
          </w:tcPr>
          <w:p>
            <w:pPr>
              <w:ind w:left="900"/>
              <w:spacing w:after="0"/>
              <w:rPr>
                <w:sz w:val="20"/>
                <w:szCs w:val="20"/>
                <w:color w:val="auto"/>
              </w:rPr>
            </w:pPr>
            <w:r>
              <w:rPr>
                <w:rFonts w:ascii="Arial" w:cs="Arial" w:eastAsia="Arial" w:hAnsi="Arial"/>
                <w:sz w:val="18"/>
                <w:szCs w:val="18"/>
                <w:color w:val="auto"/>
              </w:rPr>
              <w:t>2011 and 2010</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2</w:t>
            </w:r>
          </w:p>
        </w:tc>
      </w:tr>
      <w:tr>
        <w:trPr>
          <w:trHeight w:val="237"/>
        </w:trPr>
        <w:tc>
          <w:tcPr>
            <w:tcW w:w="8480" w:type="dxa"/>
            <w:vAlign w:val="bottom"/>
          </w:tcPr>
          <w:p>
            <w:pPr>
              <w:ind w:left="780"/>
              <w:spacing w:after="0"/>
              <w:rPr>
                <w:sz w:val="20"/>
                <w:szCs w:val="20"/>
                <w:color w:val="auto"/>
              </w:rPr>
            </w:pPr>
            <w:r>
              <w:rPr>
                <w:rFonts w:ascii="Arial" w:cs="Arial" w:eastAsia="Arial" w:hAnsi="Arial"/>
                <w:sz w:val="18"/>
                <w:szCs w:val="18"/>
                <w:color w:val="auto"/>
                <w:w w:val="95"/>
              </w:rPr>
              <w:t>Unaudited Consolidated Statements of Comprehensive Earnings for the three months and six months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480" w:type="dxa"/>
            <w:vAlign w:val="bottom"/>
          </w:tcPr>
          <w:p>
            <w:pPr>
              <w:ind w:left="900"/>
              <w:spacing w:after="0"/>
              <w:rPr>
                <w:sz w:val="20"/>
                <w:szCs w:val="20"/>
                <w:color w:val="auto"/>
              </w:rPr>
            </w:pPr>
            <w:r>
              <w:rPr>
                <w:rFonts w:ascii="Arial" w:cs="Arial" w:eastAsia="Arial" w:hAnsi="Arial"/>
                <w:sz w:val="18"/>
                <w:szCs w:val="18"/>
                <w:color w:val="auto"/>
              </w:rPr>
              <w:t>ended June 30, 2011 and 2010</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20" w:type="dxa"/>
            <w:vAlign w:val="bottom"/>
          </w:tcPr>
          <w:p>
            <w:pPr>
              <w:spacing w:after="0"/>
              <w:rPr>
                <w:sz w:val="19"/>
                <w:szCs w:val="19"/>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w w:val="96"/>
              </w:rPr>
              <w:t>Unaudited Consolidated Statement of Stockholders' Equity for the six months ended June 30, 2011</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9"/>
              </w:rPr>
              <w:t>4</w:t>
            </w:r>
          </w:p>
        </w:tc>
      </w:tr>
      <w:tr>
        <w:trPr>
          <w:trHeight w:val="297"/>
        </w:trPr>
        <w:tc>
          <w:tcPr>
            <w:tcW w:w="72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w w:val="93"/>
              </w:rPr>
              <w:t>Unaudited Consolidated Statements of Cash Flows for the six months ended June 30, 2011 and 2010</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9"/>
              </w:rPr>
              <w:t>5</w:t>
            </w:r>
          </w:p>
        </w:tc>
      </w:tr>
      <w:tr>
        <w:trPr>
          <w:trHeight w:val="243"/>
        </w:trPr>
        <w:tc>
          <w:tcPr>
            <w:tcW w:w="720" w:type="dxa"/>
            <w:vAlign w:val="bottom"/>
          </w:tcPr>
          <w:p>
            <w:pPr>
              <w:spacing w:after="0"/>
              <w:rPr>
                <w:sz w:val="21"/>
                <w:szCs w:val="21"/>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1"/>
              </w:rPr>
              <w:t>6 - 16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9"/>
              </w:rPr>
              <w:t>Management's Discussion and Analysis of Financial Condition and Results of Operations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16 - 23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6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06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[Removed and Reserved]</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8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243"/>
        </w:trPr>
        <w:tc>
          <w:tcPr>
            <w:tcW w:w="8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$ 8,879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$ 6,895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$151 and $150,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8,278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6,244</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4,267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3,489</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166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430</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21,590</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17,058</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3,555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3,534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514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765</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4,069</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(2,932)</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(3,581)</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1,137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718</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1,010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$26,274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$ 2,105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$ 1,672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7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tcPr>
          <w:p>
            <w:pPr>
              <w:ind w:left="220"/>
              <w:spacing w:after="0"/>
              <w:rPr>
                <w:sz w:val="20"/>
                <w:szCs w:val="20"/>
                <w:color w:val="auto"/>
              </w:rPr>
            </w:pPr>
            <w:r>
              <w:rPr>
                <w:rFonts w:ascii="Courier New" w:cs="Courier New" w:eastAsia="Courier New" w:hAnsi="Courier New"/>
                <w:sz w:val="18"/>
                <w:szCs w:val="18"/>
                <w:color w:val="auto"/>
              </w:rPr>
              <w:t>Accrued sales commissions</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682</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522</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497</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100" w:type="dxa"/>
            <w:vAlign w:val="bottom"/>
          </w:tcPr>
          <w:p>
            <w:pPr>
              <w:spacing w:after="0"/>
              <w:rPr>
                <w:sz w:val="17"/>
                <w:szCs w:val="17"/>
                <w:color w:val="auto"/>
              </w:rPr>
            </w:pPr>
          </w:p>
        </w:tc>
      </w:tr>
      <w:tr>
        <w:trPr>
          <w:trHeight w:val="164"/>
        </w:trPr>
        <w:tc>
          <w:tcPr>
            <w:tcW w:w="7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 rent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98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00" w:type="dxa"/>
            <w:vAlign w:val="bottom"/>
          </w:tcPr>
          <w:p>
            <w:pPr>
              <w:spacing w:after="0"/>
              <w:rPr>
                <w:sz w:val="14"/>
                <w:szCs w:val="14"/>
                <w:color w:val="auto"/>
              </w:rPr>
            </w:pPr>
          </w:p>
        </w:tc>
      </w:tr>
      <w:tr>
        <w:trPr>
          <w:trHeight w:val="183"/>
        </w:trPr>
        <w:tc>
          <w:tcPr>
            <w:tcW w:w="7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5,979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5,265</w:t>
            </w:r>
          </w:p>
        </w:tc>
        <w:tc>
          <w:tcPr>
            <w:tcW w:w="100" w:type="dxa"/>
            <w:vAlign w:val="bottom"/>
          </w:tcPr>
          <w:p>
            <w:pPr>
              <w:spacing w:after="0"/>
              <w:rPr>
                <w:sz w:val="15"/>
                <w:szCs w:val="15"/>
                <w:color w:val="auto"/>
              </w:rPr>
            </w:pPr>
          </w:p>
        </w:tc>
      </w:tr>
      <w:tr>
        <w:trPr>
          <w:trHeight w:val="183"/>
        </w:trPr>
        <w:tc>
          <w:tcPr>
            <w:tcW w:w="7120" w:type="dxa"/>
            <w:vAlign w:val="bottom"/>
          </w:tcPr>
          <w:p>
            <w:pPr>
              <w:spacing w:after="0" w:line="182" w:lineRule="exact"/>
              <w:rPr>
                <w:sz w:val="20"/>
                <w:szCs w:val="20"/>
                <w:color w:val="auto"/>
              </w:rPr>
            </w:pPr>
            <w:r>
              <w:rPr>
                <w:rFonts w:ascii="Courier New" w:cs="Courier New" w:eastAsia="Courier New" w:hAnsi="Courier New"/>
                <w:sz w:val="18"/>
                <w:szCs w:val="18"/>
                <w:color w:val="auto"/>
              </w:rPr>
              <w:t>Deferred rent, net of current portion</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39</w:t>
            </w:r>
          </w:p>
        </w:tc>
        <w:tc>
          <w:tcPr>
            <w:tcW w:w="100" w:type="dxa"/>
            <w:vAlign w:val="bottom"/>
          </w:tcPr>
          <w:p>
            <w:pPr>
              <w:spacing w:after="0"/>
              <w:rPr>
                <w:sz w:val="15"/>
                <w:szCs w:val="15"/>
                <w:color w:val="auto"/>
              </w:rPr>
            </w:pPr>
          </w:p>
        </w:tc>
      </w:tr>
      <w:tr>
        <w:trPr>
          <w:trHeight w:val="183"/>
        </w:trPr>
        <w:tc>
          <w:tcPr>
            <w:tcW w:w="7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liabilities</w:t>
            </w:r>
          </w:p>
        </w:tc>
        <w:tc>
          <w:tcPr>
            <w:tcW w:w="90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5,979</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5,304</w:t>
            </w:r>
          </w:p>
        </w:tc>
      </w:tr>
      <w:tr>
        <w:trPr>
          <w:trHeight w:val="221"/>
        </w:trPr>
        <w:tc>
          <w:tcPr>
            <w:tcW w:w="71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and 10,464,505 shares issued, respectively</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25,973</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6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(6,637)</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(10,549)</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1,311</w:t>
            </w:r>
          </w:p>
        </w:tc>
        <w:tc>
          <w:tcPr>
            <w:tcW w:w="100" w:type="dxa"/>
            <w:vAlign w:val="bottom"/>
          </w:tcPr>
          <w:p>
            <w:pPr>
              <w:spacing w:after="0"/>
              <w:rPr>
                <w:sz w:val="17"/>
                <w:szCs w:val="17"/>
                <w:color w:val="auto"/>
              </w:rPr>
            </w:pPr>
          </w:p>
        </w:tc>
      </w:tr>
      <w:tr>
        <w:trPr>
          <w:trHeight w:val="164"/>
        </w:trPr>
        <w:tc>
          <w:tcPr>
            <w:tcW w:w="7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9"/>
              </w:rPr>
              <w:t>Treasury stock, at cost; 98,649 and 119,029 shares, respectively</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(610)</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(736)</w:t>
            </w:r>
          </w:p>
        </w:tc>
      </w:tr>
      <w:tr>
        <w:trPr>
          <w:trHeight w:val="221"/>
        </w:trPr>
        <w:tc>
          <w:tcPr>
            <w:tcW w:w="7120" w:type="dxa"/>
            <w:vAlign w:val="bottom"/>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20,295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16,104</w:t>
            </w:r>
          </w:p>
        </w:tc>
        <w:tc>
          <w:tcPr>
            <w:tcW w:w="100" w:type="dxa"/>
            <w:vAlign w:val="bottom"/>
          </w:tcPr>
          <w:p>
            <w:pPr>
              <w:spacing w:after="0"/>
              <w:rPr>
                <w:sz w:val="19"/>
                <w:szCs w:val="19"/>
                <w:color w:val="auto"/>
              </w:rPr>
            </w:pPr>
          </w:p>
        </w:tc>
      </w:tr>
      <w:tr>
        <w:trPr>
          <w:trHeight w:val="203"/>
        </w:trPr>
        <w:tc>
          <w:tcPr>
            <w:tcW w:w="71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$26,274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7"/>
                <w:szCs w:val="17"/>
                <w:color w:val="auto"/>
              </w:rPr>
            </w:pPr>
          </w:p>
        </w:tc>
      </w:tr>
      <w:tr>
        <w:trPr>
          <w:trHeight w:val="203"/>
        </w:trPr>
        <w:tc>
          <w:tcPr>
            <w:tcW w:w="71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48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640" w:type="dxa"/>
            <w:vAlign w:val="bottom"/>
          </w:tcPr>
          <w:p>
            <w:pPr>
              <w:spacing w:after="0"/>
              <w:rPr>
                <w:sz w:val="17"/>
                <w:szCs w:val="17"/>
                <w:color w:val="auto"/>
              </w:rPr>
            </w:pPr>
          </w:p>
        </w:tc>
        <w:tc>
          <w:tcPr>
            <w:tcW w:w="248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rPr>
              <w:t>June 30,</w:t>
            </w: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640" w:type="dxa"/>
            <w:vAlign w:val="bottom"/>
          </w:tcPr>
          <w:p>
            <w:pPr>
              <w:spacing w:after="0"/>
              <w:rPr>
                <w:sz w:val="17"/>
                <w:szCs w:val="17"/>
                <w:color w:val="auto"/>
              </w:rPr>
            </w:pPr>
          </w:p>
        </w:tc>
        <w:tc>
          <w:tcPr>
            <w:tcW w:w="2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2011</w:t>
            </w:r>
          </w:p>
        </w:tc>
        <w:tc>
          <w:tcPr>
            <w:tcW w:w="2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2010</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$13,800</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$15,260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$25,504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$24,789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7,002</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7,892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12,884</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6,798</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7,368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11,891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11,905</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1,587</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3,134</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7,907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7,605</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2,723</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3,174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3,984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4,300</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Earnings before income tax expense (benefit)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2,733</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$ 2,655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$ 3,168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$ 3,912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$ 4,280</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10,146,613</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10,006,956 10,107,398 10,000,061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$0.31</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10,296,902</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10,186,364 10,281,857 10,093,146</w:t>
            </w:r>
          </w:p>
        </w:tc>
      </w:tr>
    </w:tbl>
    <w:p>
      <w:pPr>
        <w:sectPr>
          <w:pgSz w:w="11900" w:h="16838" w:orient="portrait"/>
          <w:cols w:equalWidth="0" w:num="1">
            <w:col w:w="10219"/>
          </w:cols>
          <w:pgMar w:left="240" w:top="136" w:right="1440" w:bottom="294" w:gutter="0" w:footer="0" w:header="0"/>
        </w:sectPr>
      </w:pPr>
    </w:p>
    <w:bookmarkStart w:id="3" w:name="page4"/>
    <w:bookmarkEnd w:id="3"/>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2011</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2010</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2011</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$ 2,655</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$ 3,168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$ 3,912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$ 4,280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(120)</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$ 2,680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$ 3,102</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$ 3,999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$ 4,160</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43776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Common</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Addt'l</w:t>
            </w:r>
          </w:p>
        </w:tc>
        <w:tc>
          <w:tcPr>
            <w:tcW w:w="880" w:type="dxa"/>
            <w:vAlign w:val="bottom"/>
          </w:tcPr>
          <w:p>
            <w:pPr>
              <w:spacing w:after="0"/>
              <w:rPr>
                <w:sz w:val="11"/>
                <w:szCs w:val="11"/>
                <w:color w:val="auto"/>
              </w:rPr>
            </w:pP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16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Paid-In</w:t>
            </w:r>
          </w:p>
        </w:tc>
        <w:tc>
          <w:tcPr>
            <w:tcW w:w="35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160" w:type="dxa"/>
            <w:vAlign w:val="bottom"/>
          </w:tcPr>
          <w:p>
            <w:pPr>
              <w:spacing w:after="0"/>
              <w:rPr>
                <w:sz w:val="11"/>
                <w:szCs w:val="11"/>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Capital</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Deficit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42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January 1, 2011</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10,464,505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$25,973</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$(10,549)</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$1,311</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$(736)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$16,104</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3,912</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3,912</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87</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87</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87</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87</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(11,250)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20,380 shares to</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satisfy profit sharing</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liability</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(51)</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75</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June 30, 2011</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10,463,255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$26,039</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(6,637)</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$1,398</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$(610)</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$20,295</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43776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3"/>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3"/>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306"/>
        </w:trPr>
        <w:tc>
          <w:tcPr>
            <w:tcW w:w="5120" w:type="dxa"/>
            <w:vAlign w:val="bottom"/>
          </w:tcPr>
          <w:p>
            <w:pPr>
              <w:spacing w:after="0"/>
              <w:rPr>
                <w:sz w:val="24"/>
                <w:szCs w:val="24"/>
                <w:color w:val="auto"/>
              </w:rPr>
            </w:pPr>
          </w:p>
        </w:tc>
        <w:tc>
          <w:tcPr>
            <w:tcW w:w="266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57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2011</w:t>
            </w:r>
          </w:p>
        </w:tc>
        <w:tc>
          <w:tcPr>
            <w:tcW w:w="190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2010</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$ 3,912</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$ 4,280</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by operating activities: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209</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190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760" w:type="dxa"/>
            <w:vAlign w:val="bottom"/>
          </w:tcPr>
          <w:p>
            <w:pPr>
              <w:jc w:val="right"/>
              <w:ind w:right="54"/>
              <w:spacing w:after="0"/>
              <w:rPr>
                <w:sz w:val="20"/>
                <w:szCs w:val="20"/>
                <w:color w:val="auto"/>
              </w:rPr>
            </w:pPr>
            <w:r>
              <w:rPr>
                <w:rFonts w:ascii="Courier New" w:cs="Courier New" w:eastAsia="Courier New" w:hAnsi="Courier New"/>
                <w:sz w:val="12"/>
                <w:szCs w:val="12"/>
                <w:color w:val="auto"/>
              </w:rPr>
              <w:t>(11)</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7"/>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87</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96</w:t>
            </w:r>
          </w:p>
        </w:tc>
        <w:tc>
          <w:tcPr>
            <w:tcW w:w="0" w:type="dxa"/>
            <w:vAlign w:val="bottom"/>
          </w:tcPr>
          <w:p>
            <w:pPr>
              <w:spacing w:after="0"/>
              <w:rPr>
                <w:sz w:val="1"/>
                <w:szCs w:val="1"/>
                <w:color w:val="auto"/>
              </w:rPr>
            </w:pPr>
          </w:p>
        </w:tc>
      </w:tr>
    </w:tbl>
    <w:p>
      <w:pPr>
        <w:sectPr>
          <w:pgSz w:w="11900" w:h="16893"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6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(2,012)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(5,331)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(761)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432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(295)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647</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476</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accrued expenses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2,516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623</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(640)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(600)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(61)</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1,984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6,895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2,647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$ 8,879</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$ 3,134</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411</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126"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2010 filed with the Securities and Exchange Commission on March 31, 2011 (the "2010 Form 10-K").</w:t>
      </w:r>
    </w:p>
    <w:p>
      <w:pPr>
        <w:sectPr>
          <w:pgSz w:w="11900" w:h="16838" w:orient="portrait"/>
          <w:cols w:equalWidth="0" w:num="1">
            <w:col w:w="11400"/>
          </w:cols>
          <w:pgMar w:left="240" w:top="132" w:right="259" w:bottom="0" w:gutter="0" w:footer="0" w:header="0"/>
        </w:sectPr>
      </w:pPr>
    </w:p>
    <w:bookmarkStart w:id="5" w:name="page6"/>
    <w:bookmarkEnd w:id="5"/>
    <w:p>
      <w:pPr>
        <w:spacing w:after="0" w:line="61"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4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$197 and $353 for the six months ended June 30, 2011 and 2010, respectively.</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6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right="120"/>
        <w:spacing w:after="0" w:line="259" w:lineRule="auto"/>
        <w:rPr>
          <w:sz w:val="20"/>
          <w:szCs w:val="20"/>
          <w:color w:val="auto"/>
        </w:rPr>
      </w:pPr>
      <w:r>
        <w:rPr>
          <w:rFonts w:ascii="Arial" w:cs="Arial" w:eastAsia="Arial" w:hAnsi="Arial"/>
          <w:sz w:val="18"/>
          <w:szCs w:val="18"/>
          <w:color w:val="auto"/>
        </w:rPr>
        <w:t>We have made an assessment of our operations and determined there were no material subsequent events requiring adjustment to, or disclosure in, our consolidated financial statements for the three and six months ended June 30, 2011 other than the cancellation on July 12, 2011 of one of our outstanding letters of credit, as discussed further in Note 7.</w:t>
      </w:r>
    </w:p>
    <w:p>
      <w:pPr>
        <w:spacing w:after="0" w:line="19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10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900" w:orient="portrait"/>
          <w:cols w:equalWidth="0" w:num="1">
            <w:col w:w="11412"/>
          </w:cols>
          <w:pgMar w:left="248" w:top="131" w:right="239" w:bottom="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For the six months ended June 30, 2011 and 2010, we recorded income tax expense of $138 and $1, respectively.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jc w:val="both"/>
        <w:ind w:left="540" w:right="62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19"/>
                <w:szCs w:val="19"/>
                <w:color w:val="auto"/>
              </w:rPr>
            </w:pPr>
          </w:p>
        </w:tc>
        <w:tc>
          <w:tcPr>
            <w:tcW w:w="600" w:type="dxa"/>
            <w:vAlign w:val="bottom"/>
            <w:gridSpan w:val="2"/>
          </w:tcPr>
          <w:p>
            <w:pPr>
              <w:jc w:val="center"/>
              <w:ind w:left="212"/>
              <w:spacing w:after="0"/>
              <w:rPr>
                <w:sz w:val="20"/>
                <w:szCs w:val="20"/>
                <w:color w:val="auto"/>
              </w:rPr>
            </w:pPr>
            <w:r>
              <w:rPr>
                <w:rFonts w:ascii="Arial" w:cs="Arial" w:eastAsia="Arial" w:hAnsi="Arial"/>
                <w:sz w:val="18"/>
                <w:szCs w:val="18"/>
                <w:color w:val="auto"/>
                <w:w w:val="93"/>
              </w:rPr>
              <w:t>- 8 -</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771"/>
        </w:trPr>
        <w:tc>
          <w:tcPr>
            <w:tcW w:w="6740" w:type="dxa"/>
            <w:vAlign w:val="bottom"/>
            <w:gridSpan w:val="8"/>
          </w:tcPr>
          <w:p>
            <w:pPr>
              <w:jc w:val="center"/>
              <w:ind w:left="4612"/>
              <w:spacing w:after="0"/>
              <w:rPr>
                <w:sz w:val="20"/>
                <w:szCs w:val="20"/>
                <w:color w:val="auto"/>
              </w:rPr>
            </w:pPr>
            <w:r>
              <w:rPr>
                <w:rFonts w:ascii="Arial" w:cs="Arial" w:eastAsia="Arial" w:hAnsi="Arial"/>
                <w:sz w:val="18"/>
                <w:szCs w:val="18"/>
                <w:b w:val="1"/>
                <w:bCs w:val="1"/>
                <w:color w:val="auto"/>
                <w:w w:val="96"/>
              </w:rPr>
              <w:t>inTEST CORPORATION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8500" w:type="dxa"/>
            <w:vAlign w:val="bottom"/>
            <w:gridSpan w:val="20"/>
          </w:tcPr>
          <w:p>
            <w:pPr>
              <w:jc w:val="center"/>
              <w:ind w:left="285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2"/>
        </w:trPr>
        <w:tc>
          <w:tcPr>
            <w:tcW w:w="5260" w:type="dxa"/>
            <w:vAlign w:val="bottom"/>
          </w:tcPr>
          <w:p>
            <w:pPr>
              <w:spacing w:after="0"/>
              <w:rPr>
                <w:sz w:val="19"/>
                <w:szCs w:val="19"/>
                <w:color w:val="auto"/>
              </w:rPr>
            </w:pPr>
          </w:p>
        </w:tc>
        <w:tc>
          <w:tcPr>
            <w:tcW w:w="1480" w:type="dxa"/>
            <w:vAlign w:val="bottom"/>
            <w:gridSpan w:val="7"/>
          </w:tcPr>
          <w:p>
            <w:pPr>
              <w:jc w:val="center"/>
              <w:ind w:right="58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08"/>
        </w:trPr>
        <w:tc>
          <w:tcPr>
            <w:tcW w:w="674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9"/>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10"/>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9"/>
          </w:tcPr>
          <w:p>
            <w:pPr>
              <w:jc w:val="center"/>
              <w:ind w:right="32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6"/>
          </w:tcPr>
          <w:p>
            <w:pPr>
              <w:ind w:left="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4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40" w:type="dxa"/>
            <w:vAlign w:val="bottom"/>
            <w:gridSpan w:val="2"/>
          </w:tcPr>
          <w:p>
            <w:pPr>
              <w:spacing w:after="0"/>
              <w:rPr>
                <w:sz w:val="12"/>
                <w:szCs w:val="12"/>
                <w:color w:val="auto"/>
              </w:rPr>
            </w:pPr>
          </w:p>
        </w:tc>
      </w:tr>
      <w:tr>
        <w:trPr>
          <w:trHeight w:val="156"/>
        </w:trPr>
        <w:tc>
          <w:tcPr>
            <w:tcW w:w="5260" w:type="dxa"/>
            <w:vAlign w:val="bottom"/>
          </w:tcPr>
          <w:p>
            <w:pPr>
              <w:spacing w:after="0"/>
              <w:rPr>
                <w:sz w:val="13"/>
                <w:szCs w:val="13"/>
                <w:color w:val="auto"/>
              </w:rPr>
            </w:pPr>
          </w:p>
        </w:tc>
        <w:tc>
          <w:tcPr>
            <w:tcW w:w="760" w:type="dxa"/>
            <w:vAlign w:val="bottom"/>
            <w:gridSpan w:val="3"/>
          </w:tcPr>
          <w:p>
            <w:pPr>
              <w:spacing w:after="0"/>
              <w:rPr>
                <w:sz w:val="13"/>
                <w:szCs w:val="13"/>
                <w:color w:val="auto"/>
              </w:rPr>
            </w:pPr>
          </w:p>
        </w:tc>
        <w:tc>
          <w:tcPr>
            <w:tcW w:w="2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320" w:type="dxa"/>
            <w:vAlign w:val="bottom"/>
          </w:tcPr>
          <w:p>
            <w:pPr>
              <w:spacing w:after="0"/>
              <w:rPr>
                <w:sz w:val="13"/>
                <w:szCs w:val="13"/>
                <w:color w:val="auto"/>
              </w:rPr>
            </w:pPr>
          </w:p>
        </w:tc>
        <w:tc>
          <w:tcPr>
            <w:tcW w:w="94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6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20" w:type="dxa"/>
            <w:vAlign w:val="bottom"/>
          </w:tcPr>
          <w:p>
            <w:pPr>
              <w:spacing w:after="0"/>
              <w:rPr>
                <w:sz w:val="13"/>
                <w:szCs w:val="13"/>
                <w:color w:val="auto"/>
              </w:rPr>
            </w:pP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5260" w:type="dxa"/>
            <w:vAlign w:val="bottom"/>
          </w:tcPr>
          <w:p>
            <w:pPr>
              <w:ind w:left="560"/>
              <w:spacing w:after="0"/>
              <w:rPr>
                <w:sz w:val="20"/>
                <w:szCs w:val="20"/>
                <w:color w:val="auto"/>
              </w:rPr>
            </w:pPr>
            <w:r>
              <w:rPr>
                <w:rFonts w:ascii="Arial" w:cs="Arial" w:eastAsia="Arial" w:hAnsi="Arial"/>
                <w:sz w:val="18"/>
                <w:szCs w:val="18"/>
                <w:color w:val="auto"/>
              </w:rPr>
              <w:t>Weighted average common shares outstanding - basic</w:t>
            </w:r>
          </w:p>
        </w:tc>
        <w:tc>
          <w:tcPr>
            <w:tcW w:w="1360" w:type="dxa"/>
            <w:vAlign w:val="bottom"/>
            <w:gridSpan w:val="6"/>
          </w:tcPr>
          <w:p>
            <w:pPr>
              <w:jc w:val="right"/>
              <w:spacing w:after="0"/>
              <w:rPr>
                <w:sz w:val="20"/>
                <w:szCs w:val="20"/>
                <w:color w:val="auto"/>
              </w:rPr>
            </w:pPr>
            <w:r>
              <w:rPr>
                <w:rFonts w:ascii="Arial" w:cs="Arial" w:eastAsia="Arial" w:hAnsi="Arial"/>
                <w:sz w:val="18"/>
                <w:szCs w:val="18"/>
                <w:color w:val="auto"/>
              </w:rPr>
              <w:t>10,146,613</w:t>
            </w:r>
          </w:p>
        </w:tc>
        <w:tc>
          <w:tcPr>
            <w:tcW w:w="12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w w:val="88"/>
              </w:rPr>
              <w:t>10,006,956</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10,107,398</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10,000,061</w:t>
            </w:r>
          </w:p>
        </w:tc>
      </w:tr>
      <w:tr>
        <w:trPr>
          <w:trHeight w:val="459"/>
        </w:trPr>
        <w:tc>
          <w:tcPr>
            <w:tcW w:w="5260" w:type="dxa"/>
            <w:vAlign w:val="bottom"/>
          </w:tcPr>
          <w:p>
            <w:pPr>
              <w:ind w:left="560"/>
              <w:spacing w:after="0"/>
              <w:rPr>
                <w:sz w:val="20"/>
                <w:szCs w:val="20"/>
                <w:color w:val="auto"/>
              </w:rPr>
            </w:pPr>
            <w:r>
              <w:rPr>
                <w:rFonts w:ascii="Arial" w:cs="Arial" w:eastAsia="Arial" w:hAnsi="Arial"/>
                <w:sz w:val="18"/>
                <w:szCs w:val="18"/>
                <w:color w:val="auto"/>
              </w:rPr>
              <w:t>Potentially dilutive securities: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5260" w:type="dxa"/>
            <w:vAlign w:val="bottom"/>
          </w:tcPr>
          <w:p>
            <w:pPr>
              <w:ind w:left="780"/>
              <w:spacing w:after="0"/>
              <w:rPr>
                <w:sz w:val="20"/>
                <w:szCs w:val="20"/>
                <w:color w:val="auto"/>
              </w:rPr>
            </w:pPr>
            <w:r>
              <w:rPr>
                <w:rFonts w:ascii="Arial" w:cs="Arial" w:eastAsia="Arial" w:hAnsi="Arial"/>
                <w:sz w:val="18"/>
                <w:szCs w:val="18"/>
                <w:color w:val="auto"/>
                <w:w w:val="87"/>
              </w:rPr>
              <w:t>Employee stock options and unvested shares of restricted stock</w:t>
            </w:r>
          </w:p>
        </w:tc>
        <w:tc>
          <w:tcPr>
            <w:tcW w:w="600" w:type="dxa"/>
            <w:vAlign w:val="bottom"/>
            <w:gridSpan w:val="2"/>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150,289</w:t>
            </w:r>
          </w:p>
        </w:tc>
        <w:tc>
          <w:tcPr>
            <w:tcW w:w="1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179,408</w:t>
            </w:r>
          </w:p>
        </w:tc>
        <w:tc>
          <w:tcPr>
            <w:tcW w:w="240" w:type="dxa"/>
            <w:vAlign w:val="bottom"/>
            <w:gridSpan w:val="2"/>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174,459</w:t>
            </w:r>
          </w:p>
        </w:tc>
        <w:tc>
          <w:tcPr>
            <w:tcW w:w="280" w:type="dxa"/>
            <w:vAlign w:val="bottom"/>
            <w:gridSpan w:val="2"/>
          </w:tcPr>
          <w:p>
            <w:pPr>
              <w:spacing w:after="0"/>
              <w:rPr>
                <w:sz w:val="24"/>
                <w:szCs w:val="24"/>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93,085</w:t>
            </w:r>
          </w:p>
        </w:tc>
      </w:tr>
      <w:tr>
        <w:trPr>
          <w:trHeight w:val="439"/>
        </w:trPr>
        <w:tc>
          <w:tcPr>
            <w:tcW w:w="5260" w:type="dxa"/>
            <w:vAlign w:val="bottom"/>
          </w:tcPr>
          <w:p>
            <w:pPr>
              <w:ind w:left="560"/>
              <w:spacing w:after="0"/>
              <w:rPr>
                <w:sz w:val="20"/>
                <w:szCs w:val="20"/>
                <w:color w:val="auto"/>
              </w:rPr>
            </w:pPr>
            <w:r>
              <w:rPr>
                <w:rFonts w:ascii="Arial" w:cs="Arial" w:eastAsia="Arial" w:hAnsi="Arial"/>
                <w:sz w:val="18"/>
                <w:szCs w:val="18"/>
                <w:color w:val="auto"/>
              </w:rPr>
              <w:t>Weighted average common shares outstanding - diluted</w:t>
            </w:r>
          </w:p>
        </w:tc>
        <w:tc>
          <w:tcPr>
            <w:tcW w:w="1360" w:type="dxa"/>
            <w:vAlign w:val="bottom"/>
            <w:gridSpan w:val="6"/>
          </w:tcPr>
          <w:p>
            <w:pPr>
              <w:jc w:val="right"/>
              <w:spacing w:after="0"/>
              <w:rPr>
                <w:sz w:val="20"/>
                <w:szCs w:val="20"/>
                <w:color w:val="auto"/>
              </w:rPr>
            </w:pPr>
            <w:r>
              <w:rPr>
                <w:rFonts w:ascii="Arial" w:cs="Arial" w:eastAsia="Arial" w:hAnsi="Arial"/>
                <w:sz w:val="18"/>
                <w:szCs w:val="18"/>
                <w:color w:val="auto"/>
              </w:rPr>
              <w:t>10,296,902</w:t>
            </w: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w w:val="88"/>
              </w:rPr>
              <w:t>10,186,364</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10,281,857</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10,093,146</w:t>
            </w:r>
          </w:p>
        </w:tc>
      </w:tr>
      <w:tr>
        <w:trPr>
          <w:trHeight w:val="931"/>
        </w:trPr>
        <w:tc>
          <w:tcPr>
            <w:tcW w:w="5260" w:type="dxa"/>
            <w:vAlign w:val="bottom"/>
          </w:tcPr>
          <w:p>
            <w:pPr>
              <w:ind w:left="560"/>
              <w:spacing w:after="0"/>
              <w:rPr>
                <w:sz w:val="20"/>
                <w:szCs w:val="20"/>
                <w:color w:val="auto"/>
              </w:rPr>
            </w:pPr>
            <w:r>
              <w:rPr>
                <w:rFonts w:ascii="Arial" w:cs="Arial" w:eastAsia="Arial" w:hAnsi="Arial"/>
                <w:sz w:val="18"/>
                <w:szCs w:val="18"/>
                <w:color w:val="auto"/>
              </w:rPr>
              <w:t>Average number of potentially dilutive securities excluded</w:t>
            </w:r>
          </w:p>
        </w:tc>
        <w:tc>
          <w:tcPr>
            <w:tcW w:w="5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22"/>
        </w:trPr>
        <w:tc>
          <w:tcPr>
            <w:tcW w:w="5260" w:type="dxa"/>
            <w:vAlign w:val="bottom"/>
          </w:tcPr>
          <w:p>
            <w:pPr>
              <w:ind w:left="700"/>
              <w:spacing w:after="0"/>
              <w:rPr>
                <w:sz w:val="20"/>
                <w:szCs w:val="20"/>
                <w:color w:val="auto"/>
              </w:rPr>
            </w:pPr>
            <w:r>
              <w:rPr>
                <w:rFonts w:ascii="Arial" w:cs="Arial" w:eastAsia="Arial" w:hAnsi="Arial"/>
                <w:sz w:val="18"/>
                <w:szCs w:val="18"/>
                <w:color w:val="auto"/>
              </w:rPr>
              <w:t>from calculation</w:t>
            </w:r>
          </w:p>
        </w:tc>
        <w:tc>
          <w:tcPr>
            <w:tcW w:w="1360" w:type="dxa"/>
            <w:vAlign w:val="bottom"/>
            <w:gridSpan w:val="6"/>
          </w:tcPr>
          <w:p>
            <w:pPr>
              <w:jc w:val="right"/>
              <w:spacing w:after="0"/>
              <w:rPr>
                <w:sz w:val="20"/>
                <w:szCs w:val="20"/>
                <w:color w:val="auto"/>
              </w:rPr>
            </w:pPr>
            <w:r>
              <w:rPr>
                <w:rFonts w:ascii="Arial" w:cs="Arial" w:eastAsia="Arial" w:hAnsi="Arial"/>
                <w:sz w:val="18"/>
                <w:szCs w:val="18"/>
                <w:color w:val="auto"/>
              </w:rPr>
              <w:t>64,670</w:t>
            </w:r>
          </w:p>
        </w:tc>
        <w:tc>
          <w:tcPr>
            <w:tcW w:w="12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149,083</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62,310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305,823</w:t>
            </w:r>
          </w:p>
        </w:tc>
      </w:tr>
    </w:tbl>
    <w:p>
      <w:pPr>
        <w:sectPr>
          <w:pgSz w:w="11900" w:h="16838" w:orient="portrait"/>
          <w:cols w:equalWidth="0" w:num="1">
            <w:col w:w="11400"/>
          </w:cols>
          <w:pgMar w:left="240" w:top="131" w:right="259" w:bottom="0" w:gutter="0" w:footer="0" w:header="0"/>
        </w:sectPr>
      </w:pPr>
    </w:p>
    <w:bookmarkStart w:id="7" w:name="page8"/>
    <w:bookmarkEnd w:id="7"/>
    <w:p>
      <w:pPr>
        <w:spacing w:after="0" w:line="43"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$4.38</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$4.07</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$4.47</w:t>
            </w:r>
          </w:p>
        </w:tc>
        <w:tc>
          <w:tcPr>
            <w:tcW w:w="660" w:type="dxa"/>
            <w:vAlign w:val="bottom"/>
          </w:tcPr>
          <w:p>
            <w:pPr>
              <w:jc w:val="right"/>
              <w:spacing w:after="0"/>
              <w:rPr>
                <w:sz w:val="20"/>
                <w:szCs w:val="20"/>
                <w:color w:val="auto"/>
              </w:rPr>
            </w:pPr>
            <w:r>
              <w:rPr>
                <w:rFonts w:ascii="Arial" w:cs="Arial" w:eastAsia="Arial" w:hAnsi="Arial"/>
                <w:sz w:val="18"/>
                <w:szCs w:val="18"/>
                <w:color w:val="auto"/>
              </w:rPr>
              <w:t>$3.67</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January 2010, the Financial Accounting Standards Board (the "FASB") issued an amendment to an accounting standard regarding disclosure 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This amendment is effective for interim and annual reporting periods beginning after December 15, 2009, with the exception of the new guidance around the Level 3 activity reconciliations, which is effective for fiscal years beginning after December 15, 2010. The adoption of this amendment did not have any impact on our consolidated financial statements.</w:t>
      </w:r>
    </w:p>
    <w:p>
      <w:pPr>
        <w:spacing w:after="0" w:line="172"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In July 2010, the FASB issued an amendment to an accounting standard that requires additional disclosure about the credit quality of financing receivables, such as aging information and credit quality indicators. Both new and existing disclosures must be disaggregated by portfolio segment or class, if applicable. The disaggregation of information is based on how allowances for credit losses are developed and how credit exposure is managed. This amendment is effective for interim periods and fiscal years ending after December 15, 2010. The adoption of this amendment did not have any impact on our consolidated financial statements.</w:t>
      </w:r>
    </w:p>
    <w:p>
      <w:pPr>
        <w:spacing w:after="0" w:line="197"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December 2010, the FASB issued an amendment to goodwill impairment testing. The amendment modifies Step I of the goodwill impairment test for reporting units with zero or negative carrying amounts. For those reporting units, an entity is required to perform Step II of the goodwill impairment test if it is more likely than not that a goodwill impairment exists. In determining whether it is more likely than not that goodwill impairment exists, an entity should consider whether there are any adverse qualitative factors indicating that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 is effective for fiscal years, and interim periods within those years, beginning after December 15, 2010. The adoption of this guidance did not have any impact on our consolidated financial statements.</w:t>
      </w:r>
    </w:p>
    <w:p>
      <w:pPr>
        <w:spacing w:after="0" w:line="172"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December 2010, the FASB issued an amendment to the disclosure of supplementary pro forma information for business combinations. The amendment specifies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amendment also expands the supplemental pro forma disclosures to include a description of the nature and amount of material, nonrecurring pro forma adjustments directly attributable to the business combination included in the reported pro forma revenue and earnings. The amendment is effective prospectively for business combinations for which the acquisition date is on or after the beginning of the first annual reporting period beginning on or after December 15, 2010. We will implement this guidance in the event we consummate a business acquisition in the future.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June 2011, the FASB issued an amendment to Topic 220, Comprehensive Income. Under the amendment, an entity has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amendment eliminates the option to present the components of other comprehensive income as part of the statement of changes in stockholders' equity. Reclassification adjustments between net income and other comprehensive income must be shown on the face of the statement(s), with no resulting change in net earnings. The amendment does not change the items that must be reported in other comprehensive income or when an item of other comprehensive income must be reclassified to net income. The amendment is effective for fiscal years beginning after December 15, 2011. We do not expect the adoption of this amendment to have a material impact on our consolidated financial statements.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As of June 30, 2011 and December 31, 2010, our goodwill totaled $1,656 and our indefinite-lived intangible asset totaled $510. The goodwill and indefinite-lived intangible asset are both a result of our acquisition of Sigma Systems Corp. ("Sigma") in October 2008 and are allocated to our Thermal Products reporting unit.</w:t>
      </w:r>
    </w:p>
    <w:p>
      <w:pPr>
        <w:spacing w:after="0" w:line="194" w:lineRule="exact"/>
        <w:rPr>
          <w:sz w:val="20"/>
          <w:szCs w:val="20"/>
          <w:color w:val="auto"/>
        </w:rPr>
      </w:pPr>
    </w:p>
    <w:p>
      <w:pPr>
        <w:ind w:left="540" w:right="120"/>
        <w:spacing w:after="0" w:line="318" w:lineRule="auto"/>
        <w:rPr>
          <w:sz w:val="20"/>
          <w:szCs w:val="20"/>
          <w:color w:val="auto"/>
        </w:rPr>
      </w:pPr>
      <w:r>
        <w:rPr>
          <w:rFonts w:ascii="Arial" w:cs="Arial" w:eastAsia="Arial" w:hAnsi="Arial"/>
          <w:sz w:val="15"/>
          <w:szCs w:val="15"/>
          <w:color w:val="auto"/>
        </w:rPr>
        <w:t>As of June 30, 2011 and December 31, 2010, we had finite-lived intangible assets which totaled $500 and $567, net of accumulated amortization of $370 and $303, respectively. At June 30, 2011 and December 31, 2010 we had three finite-lived intangible assets which consisted of customer relationships, software and patents held by Sigma at the time of our acquisition of this operation in October 2008. These intangible assets are being amortized on a straight-line basis over estimated useful lives of 72 months, 120 months and 60 months, respectively. As of June 30, 2011, these assets had remaining estimated useful lives of 39 months, 87 months, and 27 months, respectively. These intangible assets are allocated to our Thermal Products segment.</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six months ended June 30, 2011: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1260" w:type="dxa"/>
            <w:vAlign w:val="bottom"/>
          </w:tcPr>
          <w:p>
            <w:pPr>
              <w:jc w:val="right"/>
              <w:spacing w:after="0"/>
              <w:rPr>
                <w:sz w:val="20"/>
                <w:szCs w:val="20"/>
                <w:color w:val="auto"/>
              </w:rPr>
            </w:pPr>
            <w:r>
              <w:rPr>
                <w:rFonts w:ascii="Arial" w:cs="Arial" w:eastAsia="Arial" w:hAnsi="Arial"/>
                <w:sz w:val="18"/>
                <w:szCs w:val="18"/>
                <w:color w:val="auto"/>
              </w:rPr>
              <w:t>$567</w:t>
            </w:r>
          </w:p>
        </w:tc>
      </w:tr>
    </w:tbl>
    <w:p>
      <w:pPr>
        <w:sectPr>
          <w:pgSz w:w="11900" w:h="16882" w:orient="portrait"/>
          <w:cols w:equalWidth="0" w:num="1">
            <w:col w:w="11420"/>
          </w:cols>
          <w:pgMar w:left="240" w:top="158" w:right="239" w:bottom="0" w:gutter="0" w:footer="0" w:header="0"/>
        </w:sectPr>
      </w:pPr>
    </w:p>
    <w:bookmarkStart w:id="8" w:name="page9"/>
    <w:bookmarkEnd w:id="8"/>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Balance - June 30, 2011</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500</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Estimated annual amortization expense for 2011 is $135.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2012</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2013</w:t>
            </w:r>
          </w:p>
        </w:tc>
        <w:tc>
          <w:tcPr>
            <w:tcW w:w="20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2014</w:t>
            </w:r>
          </w:p>
        </w:tc>
        <w:tc>
          <w:tcPr>
            <w:tcW w:w="200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2015</w:t>
            </w:r>
          </w:p>
        </w:tc>
        <w:tc>
          <w:tcPr>
            <w:tcW w:w="200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2016</w:t>
            </w:r>
          </w:p>
        </w:tc>
        <w:tc>
          <w:tcPr>
            <w:tcW w:w="200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including facility closures, workforce reductions and temporary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During six months ended June 30, 2011 and 2010, we did not record any restructuring charges. Changes in our liability for restructuring and other charges for the six months ended June 30, 2010 are summarized as follows: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640" w:type="dxa"/>
            <w:vAlign w:val="bottom"/>
            <w:gridSpan w:val="5"/>
          </w:tcPr>
          <w:p>
            <w:pPr>
              <w:jc w:val="center"/>
              <w:ind w:right="40"/>
              <w:spacing w:after="0"/>
              <w:rPr>
                <w:sz w:val="20"/>
                <w:szCs w:val="20"/>
                <w:color w:val="auto"/>
              </w:rPr>
            </w:pPr>
            <w:r>
              <w:rPr>
                <w:rFonts w:ascii="Arial" w:cs="Arial" w:eastAsia="Arial" w:hAnsi="Arial"/>
                <w:sz w:val="14"/>
                <w:szCs w:val="14"/>
                <w:b w:val="1"/>
                <w:bCs w:val="1"/>
                <w:i w:val="1"/>
                <w:iCs w:val="1"/>
                <w:color w:val="auto"/>
                <w:w w:val="85"/>
              </w:rPr>
              <w:t>Sigma</w:t>
            </w:r>
          </w:p>
        </w:tc>
      </w:tr>
      <w:tr>
        <w:trPr>
          <w:trHeight w:val="146"/>
        </w:trPr>
        <w:tc>
          <w:tcPr>
            <w:tcW w:w="4520" w:type="dxa"/>
            <w:vAlign w:val="bottom"/>
          </w:tcPr>
          <w:p>
            <w:pPr>
              <w:spacing w:after="0"/>
              <w:rPr>
                <w:sz w:val="12"/>
                <w:szCs w:val="12"/>
                <w:color w:val="auto"/>
              </w:rPr>
            </w:pPr>
          </w:p>
        </w:tc>
        <w:tc>
          <w:tcPr>
            <w:tcW w:w="64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Accruals for one-time termination benefits and facility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520" w:type="dxa"/>
            <w:vAlign w:val="bottom"/>
          </w:tcPr>
          <w:p>
            <w:pPr>
              <w:ind w:left="80"/>
              <w:spacing w:after="0"/>
              <w:rPr>
                <w:sz w:val="20"/>
                <w:szCs w:val="20"/>
                <w:color w:val="auto"/>
              </w:rPr>
            </w:pPr>
            <w:r>
              <w:rPr>
                <w:rFonts w:ascii="Arial" w:cs="Arial" w:eastAsia="Arial" w:hAnsi="Arial"/>
                <w:sz w:val="18"/>
                <w:szCs w:val="18"/>
                <w:color w:val="auto"/>
              </w:rPr>
              <w:t>closure costs</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Severance and other cash payments related to one-time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52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64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(130)</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520" w:type="dxa"/>
            <w:vAlign w:val="bottom"/>
          </w:tcPr>
          <w:p>
            <w:pPr>
              <w:spacing w:after="0"/>
              <w:rPr>
                <w:sz w:val="20"/>
                <w:szCs w:val="20"/>
                <w:color w:val="auto"/>
              </w:rPr>
            </w:pPr>
            <w:r>
              <w:rPr>
                <w:rFonts w:ascii="Arial" w:cs="Arial" w:eastAsia="Arial" w:hAnsi="Arial"/>
                <w:sz w:val="18"/>
                <w:szCs w:val="18"/>
                <w:color w:val="auto"/>
              </w:rPr>
              <w:t>Balance - June 30, 2010</w:t>
            </w:r>
          </w:p>
        </w:tc>
        <w:tc>
          <w:tcPr>
            <w:tcW w:w="220" w:type="dxa"/>
            <w:vAlign w:val="bottom"/>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right="120"/>
        <w:spacing w:after="0" w:line="323" w:lineRule="auto"/>
        <w:rPr>
          <w:sz w:val="20"/>
          <w:szCs w:val="20"/>
          <w:color w:val="auto"/>
        </w:rPr>
      </w:pPr>
      <w:r>
        <w:rPr>
          <w:rFonts w:ascii="Arial" w:cs="Arial" w:eastAsia="Arial" w:hAnsi="Arial"/>
          <w:sz w:val="15"/>
          <w:szCs w:val="15"/>
          <w:color w:val="auto"/>
        </w:rPr>
        <w:t>Texas Instruments Incorporated accounted for 11% of our consolidated net revenues for the six months ended June 30, 2011. Texas Instruments Incorporated and Teradyne, Inc. each accounted for 15% of our consolidated net revenues for the six months ended June 30, 2010. While all three of our operating segments sold products to these customers, these revenues were primarily generated by our Mechanical Products and Electrical Products segments. During the six months ended June 30, 2011 and 2010, no other customer accounted for 10% or more of our consolidated net revenues.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2011 and December 31, 2010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920" w:type="dxa"/>
            <w:vAlign w:val="bottom"/>
            <w:gridSpan w:val="3"/>
          </w:tcPr>
          <w:p>
            <w:pPr>
              <w:jc w:val="center"/>
              <w:ind w:left="812"/>
              <w:spacing w:after="0"/>
              <w:rPr>
                <w:sz w:val="20"/>
                <w:szCs w:val="20"/>
                <w:color w:val="auto"/>
              </w:rPr>
            </w:pPr>
            <w:r>
              <w:rPr>
                <w:rFonts w:ascii="Arial" w:cs="Arial" w:eastAsia="Arial" w:hAnsi="Arial"/>
                <w:sz w:val="14"/>
                <w:szCs w:val="14"/>
                <w:b w:val="1"/>
                <w:bCs w:val="1"/>
                <w:i w:val="1"/>
                <w:iCs w:val="1"/>
                <w:color w:val="auto"/>
                <w:w w:val="85"/>
              </w:rPr>
              <w:t>June 30,</w:t>
            </w: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30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2"/>
                <w:szCs w:val="12"/>
                <w:color w:val="auto"/>
              </w:rPr>
            </w:pPr>
          </w:p>
        </w:tc>
      </w:tr>
      <w:tr>
        <w:trPr>
          <w:trHeight w:val="235"/>
        </w:trPr>
        <w:tc>
          <w:tcPr>
            <w:tcW w:w="2300" w:type="dxa"/>
            <w:vAlign w:val="bottom"/>
          </w:tcPr>
          <w:p>
            <w:pPr>
              <w:spacing w:after="0"/>
              <w:rPr>
                <w:sz w:val="20"/>
                <w:szCs w:val="20"/>
                <w:color w:val="auto"/>
              </w:rPr>
            </w:pPr>
            <w:r>
              <w:rPr>
                <w:rFonts w:ascii="Arial" w:cs="Arial" w:eastAsia="Arial" w:hAnsi="Arial"/>
                <w:sz w:val="18"/>
                <w:szCs w:val="18"/>
                <w:color w:val="auto"/>
              </w:rPr>
              <w:t>Raw materials</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color w:val="auto"/>
              </w:rPr>
              <w:t>$3,145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$2,268</w:t>
            </w:r>
          </w:p>
        </w:tc>
      </w:tr>
      <w:tr>
        <w:trPr>
          <w:trHeight w:val="459"/>
        </w:trPr>
        <w:tc>
          <w:tcPr>
            <w:tcW w:w="2300" w:type="dxa"/>
            <w:vAlign w:val="bottom"/>
          </w:tcPr>
          <w:p>
            <w:pPr>
              <w:spacing w:after="0"/>
              <w:rPr>
                <w:sz w:val="20"/>
                <w:szCs w:val="20"/>
                <w:color w:val="auto"/>
              </w:rPr>
            </w:pPr>
            <w:r>
              <w:rPr>
                <w:rFonts w:ascii="Arial" w:cs="Arial" w:eastAsia="Arial" w:hAnsi="Arial"/>
                <w:sz w:val="18"/>
                <w:szCs w:val="18"/>
                <w:color w:val="auto"/>
              </w:rPr>
              <w:t>Work in process</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color w:val="auto"/>
              </w:rPr>
              <w:t>482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385</w:t>
            </w:r>
          </w:p>
        </w:tc>
      </w:tr>
    </w:tbl>
    <w:p>
      <w:pPr>
        <w:sectPr>
          <w:pgSz w:w="11900" w:h="16838" w:orient="portrait"/>
          <w:cols w:equalWidth="0" w:num="1">
            <w:col w:w="11380"/>
          </w:cols>
          <w:pgMar w:left="240" w:top="135" w:right="279" w:bottom="0" w:gutter="0" w:footer="0" w:header="0"/>
        </w:sectPr>
      </w:pPr>
    </w:p>
    <w:bookmarkStart w:id="9" w:name="page10"/>
    <w:bookmarkEnd w:id="9"/>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223</w:t>
            </w:r>
          </w:p>
        </w:tc>
      </w:tr>
      <w:tr>
        <w:trPr>
          <w:trHeight w:val="421"/>
        </w:trPr>
        <w:tc>
          <w:tcPr>
            <w:tcW w:w="3560" w:type="dxa"/>
            <w:vAlign w:val="bottom"/>
          </w:tcPr>
          <w:p>
            <w:pPr>
              <w:spacing w:after="0"/>
              <w:rPr>
                <w:sz w:val="20"/>
                <w:szCs w:val="20"/>
                <w:color w:val="auto"/>
              </w:rPr>
            </w:pPr>
            <w:r>
              <w:rPr>
                <w:rFonts w:ascii="Arial" w:cs="Arial" w:eastAsia="Arial" w:hAnsi="Arial"/>
                <w:sz w:val="18"/>
                <w:szCs w:val="18"/>
                <w:color w:val="auto"/>
              </w:rPr>
              <w:t>Finished goods</w:t>
            </w:r>
          </w:p>
        </w:tc>
        <w:tc>
          <w:tcPr>
            <w:tcW w:w="44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r>
      <w:tr>
        <w:trPr>
          <w:trHeight w:val="20"/>
        </w:trPr>
        <w:tc>
          <w:tcPr>
            <w:tcW w:w="3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4,267</w:t>
            </w:r>
          </w:p>
        </w:tc>
        <w:tc>
          <w:tcPr>
            <w:tcW w:w="28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3,489</w:t>
            </w: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5"/>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At each of June 30, 2011 and December 31, 2010, we had a secured credit facility that provides for maximum borrowings of $250. We have not used this credit facility to borrow any funds. Our usage consists of the issuance of letters of credit in the face amount of $250. This facility is secured by pledged certificates of deposit totaling $250. These certificates of deposit are included in Restricted Certificates of Deposit on our balance sheet. We pay a quarterly fee of 1.5% per annum on the total amount of the outstanding letters of credit. This credit facility expires on September 30, 2011.</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At each of June 30, 2011 and December 31, 2010, we had four outstanding letters of credit totaling $700. All of these letters of credit were issued as security deposits under various operating leases we have entered into for our domestic facilities. Two of these letters of credit were issued under our credit facility, which is secured by pledged certificates of deposit as discussed above. The remaining two letters of credit are secured by separate pledged certificates of deposit. The individual letters of credit are discussed in more detail below.</w:t>
      </w:r>
    </w:p>
    <w:p>
      <w:pPr>
        <w:spacing w:after="0" w:line="16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At each of June 30, 2011 and December 31, 2010, we had an outstanding letter of credit in the amount of $200. This letter of credit was originally issued in December 2000 as a security deposit under a lease that our Temptronic subsidiary entered into for its facility in Sharon, Massachusetts. This letter of credit expired January 1, 2011 and was renewed for an additional year. The terms of the lease required that the letter of credit be renewed at least thirty days prior to its expiration date for successive terms of not less than one year throughout the entire lease term, which ended February 28, 2011. As a result of the termination of this lease in February 2011, this letter of credit was cancelled effective July 12, 2011.</w:t>
      </w:r>
    </w:p>
    <w:p>
      <w:pPr>
        <w:spacing w:after="0" w:line="170" w:lineRule="exact"/>
        <w:rPr>
          <w:sz w:val="20"/>
          <w:szCs w:val="20"/>
          <w:color w:val="auto"/>
        </w:rPr>
      </w:pPr>
    </w:p>
    <w:p>
      <w:pPr>
        <w:jc w:val="both"/>
        <w:ind w:left="540"/>
        <w:spacing w:after="0" w:line="323" w:lineRule="auto"/>
        <w:rPr>
          <w:sz w:val="20"/>
          <w:szCs w:val="20"/>
          <w:color w:val="auto"/>
        </w:rPr>
      </w:pPr>
      <w:r>
        <w:rPr>
          <w:rFonts w:ascii="Arial" w:cs="Arial" w:eastAsia="Arial" w:hAnsi="Arial"/>
          <w:sz w:val="15"/>
          <w:szCs w:val="15"/>
          <w:color w:val="auto"/>
        </w:rPr>
        <w:t>At each of June 30, 2011 and December 31, 2010, we had an outstanding letter of credit in the amount of $50. This letter of credit was originally issued in September 2004 as a portion of the security deposit under a lease that we entered into for a facility for our Electrical Products operation based in northern California. This letter of credit expires September 13, 2011;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52"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At each of June 30, 2011 and December 31, 2010, we had an outstanding letter of credit in the amount of $250. This letter of credit is secured by a separate pledged certificate of deposit in the amount of $250. This letter of credit was originally issued in April 2010 as a security deposit under a lease that we have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2012;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shall decrease to $125 as of the sixty-fourth month of the term of the lease and to $90 as of the one-hundredth month of the term of the lease.</w:t>
      </w:r>
    </w:p>
    <w:p>
      <w:pPr>
        <w:spacing w:after="0" w:line="172"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At each of June 30, 2011 and December 31, 2010, we had an outstanding letter of credit in the amount of $200. This letter of credit is secured by a separate pledged certificate of deposit in the amount of $200. This letter of credit was originally issued in November 2010 as a security deposit under a lease that we have entered into for a facility in Mansfield, Massachusetts. Our Thermal Products operation, which was located in Sharon, Massachusetts on December 31, 2010, relocated to this facility in Mansfield, Massachusetts during the first quarter of 2011. This letter of credit expires November 8, 2011;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 lease, the required amount of the letter of credit shall decrease to $100 as of the thirty-seventh month of the term of the lease and to $50 as of the sixty-first month of the term of the lease.</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40" w:top="90" w:right="279" w:bottom="136"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LEASEHOLD IMPROVEMENTS AND DEFERRED RENT</w:t>
      </w:r>
    </w:p>
    <w:p>
      <w:pPr>
        <w:sectPr>
          <w:pgSz w:w="11900" w:h="16838" w:orient="portrait"/>
          <w:cols w:equalWidth="0" w:num="1">
            <w:col w:w="11380"/>
          </w:cols>
          <w:pgMar w:left="240" w:top="90" w:right="279" w:bottom="136" w:gutter="0" w:footer="0" w:header="0"/>
          <w:type w:val="continuous"/>
        </w:sectPr>
      </w:pPr>
    </w:p>
    <w:bookmarkStart w:id="10" w:name="page11"/>
    <w:bookmarkEnd w:id="10"/>
    <w:p>
      <w:pPr>
        <w:spacing w:after="0" w:line="6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six months ended June 30, 2011 and 2010 was $59 and $59, respectively.</w:t>
      </w:r>
    </w:p>
    <w:p>
      <w:pPr>
        <w:spacing w:after="0" w:line="336" w:lineRule="exact"/>
        <w:rPr>
          <w:sz w:val="20"/>
          <w:szCs w:val="20"/>
          <w:color w:val="auto"/>
        </w:rPr>
      </w:pPr>
    </w:p>
    <w:p>
      <w:pPr>
        <w:ind w:left="540" w:right="9380" w:hanging="532"/>
        <w:spacing w:after="0" w:line="577" w:lineRule="auto"/>
        <w:tabs>
          <w:tab w:leader="none" w:pos="29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240"/>
        <w:spacing w:after="0" w:line="268" w:lineRule="auto"/>
        <w:rPr>
          <w:sz w:val="20"/>
          <w:szCs w:val="20"/>
          <w:color w:val="auto"/>
        </w:rPr>
      </w:pPr>
      <w:r>
        <w:rPr>
          <w:rFonts w:ascii="Arial" w:cs="Arial" w:eastAsia="Arial" w:hAnsi="Arial"/>
          <w:sz w:val="18"/>
          <w:szCs w:val="18"/>
          <w:color w:val="auto"/>
        </w:rPr>
        <w:t>Warranty expense for the six months ended June 30, 2011 and 2010 was $103 and $102, respectively. The following table sets forth the changes in the liability for product warranties for the six months ended June 30, 2011:</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$274</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June 30, 2011</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286</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As of June 30, 2011, we have outstanding stock options and unvested restricted stock awards granted under stock-based employee compensation plans that are described more fully in Note 15 to the consolidated financial statements in our 2010 Form 10-K.</w:t>
      </w:r>
    </w:p>
    <w:p>
      <w:pPr>
        <w:spacing w:after="0" w:line="186"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As of June 30, 2011, total compensation expense to be recognized in future periods was $291. The weighted average period over which this expense is expected to be recognized is 2.7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34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and six months ended June 30, 2011 and 2010,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80" w:type="dxa"/>
            <w:vAlign w:val="bottom"/>
            <w:gridSpan w:val="11"/>
          </w:tcPr>
          <w:p>
            <w:pPr>
              <w:jc w:val="center"/>
              <w:ind w:left="439"/>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380" w:type="dxa"/>
            <w:vAlign w:val="bottom"/>
            <w:gridSpan w:val="10"/>
          </w:tcPr>
          <w:p>
            <w:pPr>
              <w:jc w:val="center"/>
              <w:spacing w:after="0"/>
              <w:rPr>
                <w:sz w:val="20"/>
                <w:szCs w:val="20"/>
                <w:color w:val="auto"/>
              </w:rPr>
            </w:pPr>
            <w:r>
              <w:rPr>
                <w:rFonts w:ascii="Arial" w:cs="Arial" w:eastAsia="Arial" w:hAnsi="Arial"/>
                <w:sz w:val="14"/>
                <w:szCs w:val="14"/>
                <w:b w:val="1"/>
                <w:bCs w:val="1"/>
                <w:i w:val="1"/>
                <w:iCs w:val="1"/>
                <w:color w:val="auto"/>
                <w:w w:val="84"/>
              </w:rPr>
              <w:t>Six Months Ended</w:t>
            </w:r>
          </w:p>
        </w:tc>
      </w:tr>
      <w:tr>
        <w:trPr>
          <w:trHeight w:val="146"/>
        </w:trPr>
        <w:tc>
          <w:tcPr>
            <w:tcW w:w="3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92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1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28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120" w:type="dxa"/>
            <w:vAlign w:val="bottom"/>
          </w:tcPr>
          <w:p>
            <w:pPr>
              <w:spacing w:after="0"/>
              <w:rPr>
                <w:sz w:val="13"/>
                <w:szCs w:val="13"/>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2"/>
        </w:trPr>
        <w:tc>
          <w:tcPr>
            <w:tcW w:w="3920" w:type="dxa"/>
            <w:vAlign w:val="bottom"/>
          </w:tcPr>
          <w:p>
            <w:pPr>
              <w:spacing w:after="0"/>
              <w:rPr>
                <w:sz w:val="20"/>
                <w:szCs w:val="20"/>
                <w:color w:val="auto"/>
              </w:rPr>
            </w:pPr>
            <w:r>
              <w:rPr>
                <w:rFonts w:ascii="Arial" w:cs="Arial" w:eastAsia="Arial" w:hAnsi="Arial"/>
                <w:sz w:val="18"/>
                <w:szCs w:val="18"/>
                <w:color w:val="auto"/>
              </w:rPr>
              <w:t>Cost of revenues</w:t>
            </w:r>
          </w:p>
        </w:tc>
        <w:tc>
          <w:tcPr>
            <w:tcW w:w="78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  3</w:t>
            </w:r>
          </w:p>
        </w:tc>
        <w:tc>
          <w:tcPr>
            <w:tcW w:w="980" w:type="dxa"/>
            <w:vAlign w:val="bottom"/>
            <w:gridSpan w:val="6"/>
          </w:tcPr>
          <w:p>
            <w:pPr>
              <w:jc w:val="right"/>
              <w:ind w:right="280"/>
              <w:spacing w:after="0"/>
              <w:rPr>
                <w:sz w:val="20"/>
                <w:szCs w:val="20"/>
                <w:color w:val="auto"/>
              </w:rPr>
            </w:pPr>
            <w:r>
              <w:rPr>
                <w:rFonts w:ascii="Arial" w:cs="Arial" w:eastAsia="Arial" w:hAnsi="Arial"/>
                <w:sz w:val="18"/>
                <w:szCs w:val="18"/>
                <w:color w:val="auto"/>
              </w:rPr>
              <w:t>$  6</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  5</w:t>
            </w: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Selling expense</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6"/>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6"/>
          </w:tcPr>
          <w:p>
            <w:pPr>
              <w:jc w:val="right"/>
              <w:ind w:right="280"/>
              <w:spacing w:after="0"/>
              <w:rPr>
                <w:sz w:val="20"/>
                <w:szCs w:val="20"/>
                <w:color w:val="auto"/>
              </w:rPr>
            </w:pPr>
            <w:r>
              <w:rPr>
                <w:rFonts w:ascii="Arial" w:cs="Arial" w:eastAsia="Arial" w:hAnsi="Arial"/>
                <w:sz w:val="18"/>
                <w:szCs w:val="18"/>
                <w:color w:val="auto"/>
              </w:rPr>
              <w:t>26</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2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w:t>
            </w:r>
          </w:p>
        </w:tc>
      </w:tr>
      <w:tr>
        <w:trPr>
          <w:trHeight w:val="439"/>
        </w:trPr>
        <w:tc>
          <w:tcPr>
            <w:tcW w:w="3920" w:type="dxa"/>
            <w:vAlign w:val="bottom"/>
          </w:tcPr>
          <w:p>
            <w:pPr>
              <w:spacing w:after="0"/>
              <w:rPr>
                <w:sz w:val="24"/>
                <w:szCs w:val="24"/>
                <w:color w:val="auto"/>
              </w:rPr>
            </w:pPr>
          </w:p>
        </w:tc>
        <w:tc>
          <w:tcPr>
            <w:tcW w:w="92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39</w:t>
            </w:r>
          </w:p>
        </w:tc>
        <w:tc>
          <w:tcPr>
            <w:tcW w:w="2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56</w:t>
            </w:r>
          </w:p>
        </w:tc>
        <w:tc>
          <w:tcPr>
            <w:tcW w:w="980" w:type="dxa"/>
            <w:vAlign w:val="bottom"/>
            <w:gridSpan w:val="6"/>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w:t>
            </w:r>
          </w:p>
        </w:tc>
        <w:tc>
          <w:tcPr>
            <w:tcW w:w="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w:t>
            </w:r>
          </w:p>
        </w:tc>
      </w:tr>
      <w:tr>
        <w:trPr>
          <w:trHeight w:val="20"/>
        </w:trPr>
        <w:tc>
          <w:tcPr>
            <w:tcW w:w="3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six months ended June 30, 2011 or 2010.</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six months ended June 30, 2011:</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4620" w:type="dxa"/>
            <w:vAlign w:val="bottom"/>
          </w:tcPr>
          <w:p>
            <w:pPr>
              <w:spacing w:after="0"/>
              <w:rPr>
                <w:sz w:val="12"/>
                <w:szCs w:val="12"/>
                <w:color w:val="auto"/>
              </w:rPr>
            </w:pPr>
          </w:p>
        </w:tc>
        <w:tc>
          <w:tcPr>
            <w:tcW w:w="760" w:type="dxa"/>
            <w:vAlign w:val="bottom"/>
            <w:gridSpan w:val="4"/>
          </w:tcPr>
          <w:p>
            <w:pPr>
              <w:jc w:val="right"/>
              <w:ind w:right="200"/>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6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Nonvested shares outstanding, January 1, 2011</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303,250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0"/>
                <w:szCs w:val="20"/>
                <w:color w:val="auto"/>
              </w:rPr>
            </w:pPr>
          </w:p>
        </w:tc>
      </w:tr>
      <w:tr>
        <w:trPr>
          <w:trHeight w:val="459"/>
        </w:trPr>
        <w:tc>
          <w:tcPr>
            <w:tcW w:w="4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4620" w:type="dxa"/>
            <w:vAlign w:val="bottom"/>
          </w:tcPr>
          <w:p>
            <w:pPr>
              <w:ind w:left="140"/>
              <w:spacing w:after="0"/>
              <w:rPr>
                <w:sz w:val="20"/>
                <w:szCs w:val="20"/>
                <w:color w:val="auto"/>
              </w:rPr>
            </w:pPr>
            <w:r>
              <w:rPr>
                <w:rFonts w:ascii="Arial" w:cs="Arial" w:eastAsia="Arial" w:hAnsi="Arial"/>
                <w:sz w:val="18"/>
                <w:szCs w:val="18"/>
                <w:color w:val="auto"/>
              </w:rPr>
              <w:t>Vested</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(83,250)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4"/>
                <w:szCs w:val="24"/>
                <w:color w:val="auto"/>
              </w:rPr>
            </w:pPr>
          </w:p>
        </w:tc>
      </w:tr>
      <w:tr>
        <w:trPr>
          <w:trHeight w:val="421"/>
        </w:trPr>
        <w:tc>
          <w:tcPr>
            <w:tcW w:w="46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(11,250)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4"/>
                <w:szCs w:val="24"/>
                <w:color w:val="auto"/>
              </w:rPr>
            </w:pPr>
          </w:p>
        </w:tc>
      </w:tr>
      <w:tr>
        <w:trPr>
          <w:trHeight w:val="439"/>
        </w:trPr>
        <w:tc>
          <w:tcPr>
            <w:tcW w:w="4620" w:type="dxa"/>
            <w:vAlign w:val="bottom"/>
          </w:tcPr>
          <w:p>
            <w:pPr>
              <w:spacing w:after="0"/>
              <w:rPr>
                <w:sz w:val="24"/>
                <w:szCs w:val="24"/>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208,750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900" w:orient="portrait"/>
          <w:cols w:equalWidth="0" w:num="1">
            <w:col w:w="11340"/>
          </w:cols>
          <w:pgMar w:left="240" w:top="131" w:right="319" w:bottom="0" w:gutter="0" w:footer="0" w:header="0"/>
        </w:sectPr>
      </w:pPr>
    </w:p>
    <w:bookmarkStart w:id="11" w:name="page12"/>
    <w:bookmarkEnd w:id="11"/>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Nonvested shares outstanding, June 30, 2011</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six months ended June 30, 2011:</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780" w:type="dxa"/>
            <w:vAlign w:val="bottom"/>
          </w:tcPr>
          <w:p>
            <w:pPr>
              <w:spacing w:after="0"/>
              <w:rPr>
                <w:sz w:val="12"/>
                <w:szCs w:val="12"/>
                <w:color w:val="auto"/>
              </w:rPr>
            </w:pPr>
          </w:p>
        </w:tc>
        <w:tc>
          <w:tcPr>
            <w:tcW w:w="6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780" w:type="dxa"/>
            <w:vAlign w:val="bottom"/>
          </w:tcPr>
          <w:p>
            <w:pPr>
              <w:spacing w:after="0"/>
              <w:rPr>
                <w:sz w:val="12"/>
                <w:szCs w:val="12"/>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i w:val="1"/>
                <w:iCs w:val="1"/>
                <w:color w:val="auto"/>
                <w:w w:val="80"/>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w w:val="99"/>
              </w:rPr>
              <w:t>Options outstanding, January 1, 2011 (337,000 exercisable)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337,000</w:t>
            </w:r>
          </w:p>
        </w:tc>
        <w:tc>
          <w:tcPr>
            <w:tcW w:w="80" w:type="dxa"/>
            <w:vAlign w:val="bottom"/>
          </w:tcPr>
          <w:p>
            <w:pPr>
              <w:spacing w:after="0"/>
              <w:rPr>
                <w:sz w:val="20"/>
                <w:szCs w:val="20"/>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$3.26</w:t>
            </w:r>
          </w:p>
        </w:tc>
      </w:tr>
      <w:tr>
        <w:trPr>
          <w:trHeight w:val="459"/>
        </w:trPr>
        <w:tc>
          <w:tcPr>
            <w:tcW w:w="4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7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(10,000)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3.04</w:t>
            </w:r>
          </w:p>
        </w:tc>
      </w:tr>
      <w:tr>
        <w:trPr>
          <w:trHeight w:val="421"/>
        </w:trPr>
        <w:tc>
          <w:tcPr>
            <w:tcW w:w="478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39"/>
        </w:trPr>
        <w:tc>
          <w:tcPr>
            <w:tcW w:w="4780" w:type="dxa"/>
            <w:vAlign w:val="bottom"/>
          </w:tcPr>
          <w:p>
            <w:pPr>
              <w:spacing w:after="0"/>
              <w:rPr>
                <w:sz w:val="20"/>
                <w:szCs w:val="20"/>
                <w:color w:val="auto"/>
              </w:rPr>
            </w:pPr>
            <w:r>
              <w:rPr>
                <w:rFonts w:ascii="Arial" w:cs="Arial" w:eastAsia="Arial" w:hAnsi="Arial"/>
                <w:sz w:val="18"/>
                <w:szCs w:val="18"/>
                <w:color w:val="auto"/>
              </w:rPr>
              <w:t>Options outstanding, June 30, 2011 (327,000 exercisable)</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327,000</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3.26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16 to the consolidated financial statements in our 2010 Form 10-K. Effective April 1, 2010, we restored the 401(k) Plan discretionary matching contribution for all domestic employees which had been eliminated for most of these employees at the beginning of 2009.</w:t>
      </w:r>
    </w:p>
    <w:p>
      <w:pPr>
        <w:spacing w:after="0" w:line="16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will be the same as those of the inTEST 401(k) Plan. Effective January 1, 2009, we temporarily suspended profit sharing contributions due to operating losses being incurred by Temptronic. Effective April 1, 2010, profit sharing contributions were reinstated. Accruals for profit sharing contributions totaling $150 and $75 were made during the six months ended June 30, 2011 and 2010, respectively. Through June 30, 2011, we had made a total of $1,703 in profit sharing contributions.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jc w:val="both"/>
        <w:ind w:left="540" w:right="26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Sigma Systems Corp., Temptronic GmbH (Germany), and inTEST Pte, Limited (Singapore). Sales of this segment consist primarily of temperature management systems which we design, manufacture and market under our Temptronic and Sigma Systems product lines. In addition, this segment provides post warranty service and support.</w:t>
      </w:r>
    </w:p>
    <w:p>
      <w:pPr>
        <w:spacing w:after="0" w:line="16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30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defense and medical industries. Intercompany pricing between segments is either a multiple of cost for component parts or list price for finished goods.</w:t>
      </w:r>
    </w:p>
    <w:p>
      <w:pPr>
        <w:sectPr>
          <w:pgSz w:w="11900" w:h="1698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8"/>
          </w:tcPr>
          <w:p>
            <w:pPr>
              <w:jc w:val="center"/>
              <w:ind w:right="2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80" w:type="dxa"/>
            <w:vAlign w:val="bottom"/>
            <w:gridSpan w:val="7"/>
          </w:tcPr>
          <w:p>
            <w:pPr>
              <w:jc w:val="center"/>
              <w:ind w:left="3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2011</w:t>
            </w:r>
          </w:p>
        </w:tc>
        <w:tc>
          <w:tcPr>
            <w:tcW w:w="440" w:type="dxa"/>
            <w:vAlign w:val="bottom"/>
          </w:tcPr>
          <w:p>
            <w:pPr>
              <w:spacing w:after="0"/>
              <w:rPr>
                <w:sz w:val="13"/>
                <w:szCs w:val="13"/>
                <w:color w:val="auto"/>
              </w:rPr>
            </w:pPr>
          </w:p>
        </w:tc>
        <w:tc>
          <w:tcPr>
            <w:tcW w:w="56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104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988" w:orient="portrait"/>
          <w:cols w:equalWidth="0" w:num="2">
            <w:col w:w="4320" w:space="720"/>
            <w:col w:w="6380"/>
          </w:cols>
          <w:pgMar w:left="240" w:top="131" w:right="23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Mechanical Products</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$ 5,097</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$ 7,778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$10,127</w:t>
            </w:r>
          </w:p>
        </w:tc>
        <w:tc>
          <w:tcPr>
            <w:tcW w:w="700" w:type="dxa"/>
            <w:vAlign w:val="bottom"/>
          </w:tcPr>
          <w:p>
            <w:pPr>
              <w:jc w:val="right"/>
              <w:spacing w:after="0"/>
              <w:rPr>
                <w:sz w:val="20"/>
                <w:szCs w:val="20"/>
                <w:color w:val="auto"/>
              </w:rPr>
            </w:pPr>
            <w:r>
              <w:rPr>
                <w:rFonts w:ascii="Arial" w:cs="Arial" w:eastAsia="Arial" w:hAnsi="Arial"/>
                <w:sz w:val="18"/>
                <w:szCs w:val="18"/>
                <w:color w:val="auto"/>
              </w:rPr>
              <w:t>$12,534</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Thermal Products</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4,726</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12,021</w:t>
            </w:r>
          </w:p>
        </w:tc>
        <w:tc>
          <w:tcPr>
            <w:tcW w:w="700" w:type="dxa"/>
            <w:vAlign w:val="bottom"/>
          </w:tcPr>
          <w:p>
            <w:pPr>
              <w:jc w:val="right"/>
              <w:spacing w:after="0"/>
              <w:rPr>
                <w:sz w:val="20"/>
                <w:szCs w:val="20"/>
                <w:color w:val="auto"/>
              </w:rPr>
            </w:pPr>
            <w:r>
              <w:rPr>
                <w:rFonts w:ascii="Arial" w:cs="Arial" w:eastAsia="Arial" w:hAnsi="Arial"/>
                <w:sz w:val="18"/>
                <w:szCs w:val="18"/>
                <w:color w:val="auto"/>
              </w:rPr>
              <w:t>8,238</w:t>
            </w:r>
          </w:p>
        </w:tc>
      </w:tr>
    </w:tbl>
    <w:p>
      <w:pPr>
        <w:spacing w:after="0" w:line="200" w:lineRule="exact"/>
        <w:rPr>
          <w:sz w:val="20"/>
          <w:szCs w:val="20"/>
          <w:color w:val="auto"/>
        </w:rPr>
      </w:pPr>
    </w:p>
    <w:p>
      <w:pPr>
        <w:sectPr>
          <w:pgSz w:w="11900" w:h="16988" w:orient="portrait"/>
          <w:cols w:equalWidth="0" w:num="1">
            <w:col w:w="11420"/>
          </w:cols>
          <w:pgMar w:left="240" w:top="131" w:right="239" w:bottom="0" w:gutter="0" w:footer="0" w:header="0"/>
          <w:type w:val="continuous"/>
        </w:sectPr>
      </w:pPr>
    </w:p>
    <w:p>
      <w:pPr>
        <w:spacing w:after="0" w:line="37" w:lineRule="exact"/>
        <w:rPr>
          <w:sz w:val="20"/>
          <w:szCs w:val="20"/>
          <w:color w:val="auto"/>
        </w:rPr>
      </w:pPr>
    </w:p>
    <w:p>
      <w:pPr>
        <w:ind w:left="5180"/>
        <w:spacing w:after="0"/>
        <w:tabs>
          <w:tab w:leader="none" w:pos="5960" w:val="left"/>
          <w:tab w:leader="none" w:pos="6760" w:val="left"/>
          <w:tab w:leader="none" w:pos="7560" w:val="left"/>
        </w:tabs>
        <w:rPr>
          <w:sz w:val="20"/>
          <w:szCs w:val="20"/>
          <w:color w:val="auto"/>
        </w:rPr>
      </w:pPr>
      <w:r>
        <w:rPr>
          <w:rFonts w:ascii="Arial" w:cs="Arial" w:eastAsia="Arial" w:hAnsi="Arial"/>
          <w:sz w:val="18"/>
          <w:szCs w:val="18"/>
          <w:color w:val="auto"/>
        </w:rPr>
        <w:t>2 040</w:t>
      </w:r>
      <w:r>
        <w:rPr>
          <w:sz w:val="20"/>
          <w:szCs w:val="20"/>
          <w:color w:val="auto"/>
        </w:rPr>
        <w:tab/>
      </w:r>
      <w:r>
        <w:rPr>
          <w:rFonts w:ascii="Arial" w:cs="Arial" w:eastAsia="Arial" w:hAnsi="Arial"/>
          <w:sz w:val="18"/>
          <w:szCs w:val="18"/>
          <w:color w:val="auto"/>
        </w:rPr>
        <w:t>2 776</w:t>
      </w:r>
      <w:r>
        <w:rPr>
          <w:sz w:val="20"/>
          <w:szCs w:val="20"/>
          <w:color w:val="auto"/>
        </w:rPr>
        <w:tab/>
      </w:r>
      <w:r>
        <w:rPr>
          <w:rFonts w:ascii="Arial" w:cs="Arial" w:eastAsia="Arial" w:hAnsi="Arial"/>
          <w:sz w:val="18"/>
          <w:szCs w:val="18"/>
          <w:color w:val="auto"/>
        </w:rPr>
        <w:t>3 386</w:t>
      </w:r>
      <w:r>
        <w:rPr>
          <w:sz w:val="20"/>
          <w:szCs w:val="20"/>
          <w:color w:val="auto"/>
        </w:rPr>
        <w:tab/>
      </w:r>
      <w:r>
        <w:rPr>
          <w:rFonts w:ascii="Arial" w:cs="Arial" w:eastAsia="Arial" w:hAnsi="Arial"/>
          <w:sz w:val="15"/>
          <w:szCs w:val="15"/>
          <w:color w:val="auto"/>
        </w:rPr>
        <w:t>4 038</w:t>
      </w:r>
    </w:p>
    <w:p>
      <w:pPr>
        <w:spacing w:after="0" w:line="20" w:lineRule="exact"/>
        <w:rPr>
          <w:sz w:val="20"/>
          <w:szCs w:val="20"/>
          <w:color w:val="auto"/>
        </w:rPr>
      </w:pPr>
    </w:p>
    <w:p>
      <w:pPr>
        <w:sectPr>
          <w:pgSz w:w="11900" w:h="16988" w:orient="portrait"/>
          <w:cols w:equalWidth="0" w:num="1">
            <w:col w:w="11420"/>
          </w:cols>
          <w:pgMar w:left="240" w:top="131" w:right="239" w:bottom="0" w:gutter="0" w:footer="0" w:header="0"/>
          <w:type w:val="continuous"/>
        </w:sectPr>
      </w:pPr>
    </w:p>
    <w:bookmarkStart w:id="12" w:name="page13"/>
    <w:bookmarkEnd w:id="12"/>
    <w:tbl>
      <w:tblPr>
        <w:tblLayout w:type="fixed"/>
        <w:tblInd w:w="56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Intersegment sales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7"/>
              </w:rPr>
              <w:t>(21)</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13,800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15,260</w:t>
            </w:r>
          </w:p>
        </w:tc>
        <w:tc>
          <w:tcPr>
            <w:tcW w:w="220" w:type="dxa"/>
            <w:vAlign w:val="bottom"/>
          </w:tcPr>
          <w:p>
            <w:pPr>
              <w:spacing w:after="0"/>
              <w:rPr>
                <w:sz w:val="24"/>
                <w:szCs w:val="24"/>
                <w:color w:val="auto"/>
              </w:rPr>
            </w:pPr>
          </w:p>
        </w:tc>
        <w:tc>
          <w:tcPr>
            <w:tcW w:w="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25,504</w:t>
            </w:r>
          </w:p>
        </w:tc>
        <w:tc>
          <w:tcPr>
            <w:tcW w:w="220" w:type="dxa"/>
            <w:vAlign w:val="bottom"/>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24,789</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2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439"/>
        </w:trPr>
        <w:tc>
          <w:tcPr>
            <w:tcW w:w="446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w:t>
            </w:r>
          </w:p>
        </w:tc>
        <w:tc>
          <w:tcPr>
            <w:tcW w:w="22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591</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$2,914</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2,593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499</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525</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680</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gridSpan w:val="2"/>
          </w:tcPr>
          <w:p>
            <w:pPr>
              <w:spacing w:after="0"/>
              <w:rPr>
                <w:sz w:val="24"/>
                <w:szCs w:val="24"/>
                <w:color w:val="auto"/>
              </w:rPr>
            </w:pPr>
          </w:p>
        </w:tc>
        <w:tc>
          <w:tcPr>
            <w:tcW w:w="680" w:type="dxa"/>
            <w:vAlign w:val="bottom"/>
            <w:gridSpan w:val="6"/>
          </w:tcPr>
          <w:p>
            <w:pPr>
              <w:jc w:val="right"/>
              <w:ind w:right="180"/>
              <w:spacing w:after="0"/>
              <w:rPr>
                <w:sz w:val="20"/>
                <w:szCs w:val="20"/>
                <w:color w:val="auto"/>
              </w:rPr>
            </w:pPr>
            <w:r>
              <w:rPr>
                <w:rFonts w:ascii="Arial" w:cs="Arial" w:eastAsia="Arial" w:hAnsi="Arial"/>
                <w:sz w:val="18"/>
                <w:szCs w:val="18"/>
                <w:color w:val="auto"/>
              </w:rPr>
              <w:t>(213)</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(133)</w:t>
            </w:r>
          </w:p>
        </w:tc>
        <w:tc>
          <w:tcPr>
            <w:tcW w:w="800" w:type="dxa"/>
            <w:vAlign w:val="bottom"/>
            <w:gridSpan w:val="7"/>
          </w:tcPr>
          <w:p>
            <w:pPr>
              <w:jc w:val="right"/>
              <w:ind w:right="180"/>
              <w:spacing w:after="0"/>
              <w:rPr>
                <w:sz w:val="20"/>
                <w:szCs w:val="20"/>
                <w:color w:val="auto"/>
              </w:rPr>
            </w:pPr>
            <w:r>
              <w:rPr>
                <w:rFonts w:ascii="Arial" w:cs="Arial" w:eastAsia="Arial" w:hAnsi="Arial"/>
                <w:sz w:val="18"/>
                <w:szCs w:val="18"/>
                <w:color w:val="auto"/>
              </w:rPr>
              <w:t>(335)</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2,733</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3,166</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4,050</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4,281</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554</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$2,906</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506</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510</w:t>
            </w:r>
          </w:p>
        </w:tc>
        <w:tc>
          <w:tcPr>
            <w:tcW w:w="2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660</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gridSpan w:val="2"/>
          </w:tcPr>
          <w:p>
            <w:pPr>
              <w:spacing w:after="0"/>
              <w:rPr>
                <w:sz w:val="24"/>
                <w:szCs w:val="24"/>
                <w:color w:val="auto"/>
              </w:rPr>
            </w:pPr>
          </w:p>
        </w:tc>
        <w:tc>
          <w:tcPr>
            <w:tcW w:w="680" w:type="dxa"/>
            <w:vAlign w:val="bottom"/>
            <w:gridSpan w:val="6"/>
          </w:tcPr>
          <w:p>
            <w:pPr>
              <w:jc w:val="right"/>
              <w:ind w:right="180"/>
              <w:spacing w:after="0"/>
              <w:rPr>
                <w:sz w:val="20"/>
                <w:szCs w:val="20"/>
                <w:color w:val="auto"/>
              </w:rPr>
            </w:pPr>
            <w:r>
              <w:rPr>
                <w:rFonts w:ascii="Arial" w:cs="Arial" w:eastAsia="Arial" w:hAnsi="Arial"/>
                <w:sz w:val="18"/>
                <w:szCs w:val="18"/>
                <w:color w:val="auto"/>
              </w:rPr>
              <w:t>(198)</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(133)</w:t>
            </w:r>
          </w:p>
        </w:tc>
        <w:tc>
          <w:tcPr>
            <w:tcW w:w="800" w:type="dxa"/>
            <w:vAlign w:val="bottom"/>
            <w:gridSpan w:val="7"/>
          </w:tcPr>
          <w:p>
            <w:pPr>
              <w:jc w:val="right"/>
              <w:ind w:right="180"/>
              <w:spacing w:after="0"/>
              <w:rPr>
                <w:sz w:val="20"/>
                <w:szCs w:val="20"/>
                <w:color w:val="auto"/>
              </w:rPr>
            </w:pPr>
            <w:r>
              <w:rPr>
                <w:rFonts w:ascii="Arial" w:cs="Arial" w:eastAsia="Arial" w:hAnsi="Arial"/>
                <w:sz w:val="18"/>
                <w:szCs w:val="18"/>
                <w:color w:val="auto"/>
              </w:rPr>
              <w:t>(309)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3,168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3,912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4,280</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240" w:top="131" w:right="399" w:bottom="252" w:gutter="0" w:footer="0" w:header="0"/>
        </w:sect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i w:val="1"/>
          <w:iCs w:val="1"/>
          <w:color w:val="auto"/>
        </w:rPr>
        <w:t>June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4"/>
          <w:szCs w:val="14"/>
          <w:b w:val="1"/>
          <w:bCs w:val="1"/>
          <w:i w:val="1"/>
          <w:iCs w:val="1"/>
          <w:color w:val="auto"/>
        </w:rPr>
        <w:t>2011</w:t>
      </w:r>
      <w:r>
        <w:rPr>
          <w:sz w:val="20"/>
          <w:szCs w:val="20"/>
          <w:color w:val="auto"/>
        </w:rPr>
        <w:tab/>
      </w:r>
      <w:r>
        <w:rPr>
          <w:rFonts w:ascii="Arial" w:cs="Arial" w:eastAsia="Arial" w:hAnsi="Arial"/>
          <w:sz w:val="14"/>
          <w:szCs w:val="14"/>
          <w:b w:val="1"/>
          <w:bCs w:val="1"/>
          <w:i w:val="1"/>
          <w:i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-8890</wp:posOffset>
            </wp:positionV>
            <wp:extent cx="842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880" w:space="720"/>
            <w:col w:w="4660"/>
          </w:cols>
          <w:pgMar w:left="240" w:top="131" w:right="399" w:bottom="252" w:gutter="0" w:footer="0" w:header="0"/>
          <w:type w:val="continuous"/>
        </w:sectPr>
      </w:pPr>
    </w:p>
    <w:tbl>
      <w:tblPr>
        <w:tblLayout w:type="fixed"/>
        <w:tblInd w:w="56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Mechanical Products</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8,741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7,617</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Thermal Products</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14,459</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11,315</w:t>
            </w:r>
          </w:p>
        </w:tc>
      </w:tr>
      <w:tr>
        <w:trPr>
          <w:trHeight w:val="421"/>
        </w:trPr>
        <w:tc>
          <w:tcPr>
            <w:tcW w:w="3220" w:type="dxa"/>
            <w:vAlign w:val="bottom"/>
          </w:tcPr>
          <w:p>
            <w:pPr>
              <w:spacing w:after="0"/>
              <w:rPr>
                <w:sz w:val="20"/>
                <w:szCs w:val="20"/>
                <w:color w:val="auto"/>
              </w:rPr>
            </w:pPr>
            <w:r>
              <w:rPr>
                <w:rFonts w:ascii="Arial" w:cs="Arial" w:eastAsia="Arial" w:hAnsi="Arial"/>
                <w:sz w:val="18"/>
                <w:szCs w:val="18"/>
                <w:color w:val="auto"/>
              </w:rPr>
              <w:t>Electrical Products</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r>
      <w:tr>
        <w:trPr>
          <w:trHeight w:val="439"/>
        </w:trPr>
        <w:tc>
          <w:tcPr>
            <w:tcW w:w="3220" w:type="dxa"/>
            <w:vAlign w:val="bottom"/>
          </w:tcPr>
          <w:p>
            <w:pPr>
              <w:spacing w:after="0"/>
              <w:rPr>
                <w:sz w:val="24"/>
                <w:szCs w:val="24"/>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26,274</w:t>
            </w:r>
          </w:p>
        </w:tc>
        <w:tc>
          <w:tcPr>
            <w:tcW w:w="3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21,408</w:t>
            </w:r>
          </w:p>
        </w:tc>
      </w:tr>
      <w:tr>
        <w:trPr>
          <w:trHeight w:val="572"/>
        </w:trPr>
        <w:tc>
          <w:tcPr>
            <w:tcW w:w="3220" w:type="dxa"/>
            <w:vAlign w:val="bottom"/>
          </w:tcPr>
          <w:p>
            <w:pPr>
              <w:spacing w:after="0"/>
              <w:rPr>
                <w:sz w:val="24"/>
                <w:szCs w:val="24"/>
                <w:color w:val="auto"/>
              </w:rPr>
            </w:pPr>
          </w:p>
        </w:tc>
        <w:tc>
          <w:tcPr>
            <w:tcW w:w="2820" w:type="dxa"/>
            <w:vAlign w:val="bottom"/>
          </w:tcPr>
          <w:p>
            <w:pPr>
              <w:jc w:val="right"/>
              <w:ind w:right="612"/>
              <w:spacing w:after="0"/>
              <w:rPr>
                <w:sz w:val="20"/>
                <w:szCs w:val="20"/>
                <w:color w:val="auto"/>
              </w:rPr>
            </w:pPr>
            <w:r>
              <w:rPr>
                <w:rFonts w:ascii="Arial" w:cs="Arial" w:eastAsia="Arial" w:hAnsi="Arial"/>
                <w:sz w:val="18"/>
                <w:szCs w:val="18"/>
                <w:color w:val="auto"/>
              </w:rPr>
              <w:t>- 15 -</w:t>
            </w: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bl>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1260"/>
          </w:cols>
          <w:pgMar w:left="240" w:top="131" w:right="399" w:bottom="252"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8"/>
          </w:tcPr>
          <w:p>
            <w:pPr>
              <w:jc w:val="center"/>
              <w:ind w:right="48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200" w:type="dxa"/>
            <w:vAlign w:val="bottom"/>
            <w:gridSpan w:val="5"/>
          </w:tcPr>
          <w:p>
            <w:pPr>
              <w:jc w:val="center"/>
              <w:ind w:right="12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2011</w:t>
            </w:r>
          </w:p>
        </w:tc>
        <w:tc>
          <w:tcPr>
            <w:tcW w:w="460" w:type="dxa"/>
            <w:vAlign w:val="bottom"/>
          </w:tcPr>
          <w:p>
            <w:pPr>
              <w:spacing w:after="0"/>
              <w:rPr>
                <w:sz w:val="13"/>
                <w:szCs w:val="13"/>
                <w:color w:val="auto"/>
              </w:rPr>
            </w:pPr>
          </w:p>
        </w:tc>
        <w:tc>
          <w:tcPr>
            <w:tcW w:w="7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94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2010</w:t>
            </w: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0" w:space="720"/>
            <w:col w:w="6180"/>
          </w:cols>
          <w:pgMar w:left="240" w:top="131" w:right="399" w:bottom="252"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5,429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8,212</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16,481</w:t>
            </w:r>
          </w:p>
        </w:tc>
        <w:tc>
          <w:tcPr>
            <w:tcW w:w="34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16,577</w:t>
            </w:r>
          </w:p>
        </w:tc>
      </w:tr>
      <w:tr>
        <w:trPr>
          <w:trHeight w:val="439"/>
        </w:trPr>
        <w:tc>
          <w:tcPr>
            <w:tcW w:w="45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13,800</w:t>
            </w:r>
          </w:p>
        </w:tc>
        <w:tc>
          <w:tcPr>
            <w:tcW w:w="2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15,260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25,504</w:t>
            </w: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24,789</w:t>
            </w:r>
          </w:p>
        </w:tc>
      </w:tr>
      <w:tr>
        <w:trPr>
          <w:trHeight w:val="20"/>
        </w:trPr>
        <w:tc>
          <w:tcPr>
            <w:tcW w:w="45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60"/>
          </w:cols>
          <w:pgMar w:left="240" w:top="131" w:right="399" w:bottom="252" w:gutter="0" w:footer="0" w:header="0"/>
          <w:type w:val="continuous"/>
        </w:sectPr>
      </w:pPr>
    </w:p>
    <w:bookmarkStart w:id="13" w:name="page14"/>
    <w:bookmarkEnd w:id="13"/>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800" w:type="dxa"/>
            <w:vAlign w:val="bottom"/>
            <w:gridSpan w:val="5"/>
          </w:tcPr>
          <w:p>
            <w:pPr>
              <w:jc w:val="center"/>
              <w:ind w:right="280"/>
              <w:spacing w:after="0"/>
              <w:rPr>
                <w:sz w:val="20"/>
                <w:szCs w:val="20"/>
                <w:color w:val="auto"/>
              </w:rPr>
            </w:pPr>
            <w:r>
              <w:rPr>
                <w:rFonts w:ascii="Arial" w:cs="Arial" w:eastAsia="Arial" w:hAnsi="Arial"/>
                <w:sz w:val="14"/>
                <w:szCs w:val="14"/>
                <w:b w:val="1"/>
                <w:bCs w:val="1"/>
                <w:i w:val="1"/>
                <w:iCs w:val="1"/>
                <w:color w:val="auto"/>
                <w:w w:val="85"/>
              </w:rPr>
              <w:t>June 30,</w:t>
            </w:r>
          </w:p>
        </w:tc>
        <w:tc>
          <w:tcPr>
            <w:tcW w:w="620" w:type="dxa"/>
            <w:vAlign w:val="bottom"/>
            <w:gridSpan w:val="4"/>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6080" w:type="dxa"/>
            <w:vAlign w:val="bottom"/>
          </w:tcPr>
          <w:p>
            <w:pPr>
              <w:spacing w:after="0"/>
              <w:rPr>
                <w:sz w:val="14"/>
                <w:szCs w:val="14"/>
                <w:color w:val="auto"/>
              </w:rPr>
            </w:pPr>
          </w:p>
        </w:tc>
        <w:tc>
          <w:tcPr>
            <w:tcW w:w="5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i w:val="1"/>
                <w:iCs w:val="1"/>
                <w:color w:val="auto"/>
              </w:rPr>
              <w:t>2011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i w:val="1"/>
                <w:iCs w:val="1"/>
                <w:color w:val="auto"/>
              </w:rPr>
              <w:t>2010</w:t>
            </w:r>
          </w:p>
        </w:tc>
        <w:tc>
          <w:tcPr>
            <w:tcW w:w="80" w:type="dxa"/>
            <w:vAlign w:val="bottom"/>
          </w:tcPr>
          <w:p>
            <w:pPr>
              <w:spacing w:after="0"/>
              <w:rPr>
                <w:sz w:val="14"/>
                <w:szCs w:val="14"/>
                <w:color w:val="auto"/>
              </w:rPr>
            </w:pPr>
          </w:p>
        </w:tc>
      </w:tr>
      <w:tr>
        <w:trPr>
          <w:trHeight w:val="262"/>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$ 827</w:t>
            </w:r>
          </w:p>
        </w:tc>
        <w:tc>
          <w:tcPr>
            <w:tcW w:w="20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$359</w:t>
            </w:r>
          </w:p>
        </w:tc>
      </w:tr>
      <w:tr>
        <w:trPr>
          <w:trHeight w:val="421"/>
        </w:trPr>
        <w:tc>
          <w:tcPr>
            <w:tcW w:w="608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gridSpan w:val="2"/>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359</w:t>
            </w:r>
          </w:p>
        </w:tc>
      </w:tr>
      <w:tr>
        <w:trPr>
          <w:trHeight w:val="439"/>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1,137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718</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2010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2010 Form 10-K. Material changes to such risk factors may be reported in subsequent Quarterly Reports on Form 10-Q in Part II, Item 1A. There have been no such changes from the risk factors set forth in our 2010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pacing w:after="0" w:line="162" w:lineRule="exact"/>
        <w:rPr>
          <w:sz w:val="20"/>
          <w:szCs w:val="20"/>
          <w:color w:val="auto"/>
        </w:rPr>
      </w:pPr>
    </w:p>
    <w:p>
      <w:pPr>
        <w:ind w:left="540" w:right="140"/>
        <w:spacing w:after="0" w:line="314" w:lineRule="auto"/>
        <w:rPr>
          <w:sz w:val="20"/>
          <w:szCs w:val="20"/>
          <w:color w:val="auto"/>
        </w:rPr>
      </w:pPr>
      <w:r>
        <w:rPr>
          <w:rFonts w:ascii="Arial" w:cs="Arial" w:eastAsia="Arial" w:hAnsi="Arial"/>
          <w:sz w:val="15"/>
          <w:szCs w:val="15"/>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w:t>
      </w:r>
    </w:p>
    <w:p>
      <w:pPr>
        <w:sectPr>
          <w:pgSz w:w="11900" w:h="16960" w:orient="portrait"/>
          <w:cols w:equalWidth="0" w:num="1">
            <w:col w:w="11400"/>
          </w:cols>
          <w:pgMar w:left="240" w:top="129" w:right="259" w:bottom="0" w:gutter="0" w:footer="0" w:header="0"/>
        </w:sectPr>
      </w:pPr>
    </w:p>
    <w:bookmarkStart w:id="14" w:name="page15"/>
    <w:bookmarkEnd w:id="14"/>
    <w:p>
      <w:pPr>
        <w:spacing w:after="0" w:line="2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ectPr>
          <w:pgSz w:w="11900" w:h="16862"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000's)</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i w:val="1"/>
                <w:iCs w:val="1"/>
                <w:color w:val="auto"/>
                <w:w w:val="93"/>
              </w:rPr>
              <w:t>Three Months Ended</w:t>
            </w:r>
          </w:p>
        </w:tc>
        <w:tc>
          <w:tcPr>
            <w:tcW w:w="460" w:type="dxa"/>
            <w:vAlign w:val="bottom"/>
            <w:gridSpan w:val="3"/>
          </w:tcPr>
          <w:p>
            <w:pPr>
              <w:spacing w:after="0"/>
              <w:rPr>
                <w:sz w:val="19"/>
                <w:szCs w:val="19"/>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223"/>
        </w:trPr>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i w:val="1"/>
                <w:iCs w:val="1"/>
                <w:color w:val="auto"/>
                <w:w w:val="96"/>
              </w:rPr>
              <w:t>June 30,</w:t>
            </w:r>
          </w:p>
        </w:tc>
        <w:tc>
          <w:tcPr>
            <w:tcW w:w="220" w:type="dxa"/>
            <w:vAlign w:val="bottom"/>
          </w:tcPr>
          <w:p>
            <w:pPr>
              <w:spacing w:after="0"/>
              <w:rPr>
                <w:sz w:val="19"/>
                <w:szCs w:val="19"/>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i w:val="1"/>
                <w:iCs w:val="1"/>
                <w:color w:val="auto"/>
                <w:w w:val="89"/>
              </w:rPr>
              <w:t>March 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Pr>
          <w:p>
            <w:pPr>
              <w:spacing w:after="0"/>
              <w:rPr>
                <w:sz w:val="19"/>
                <w:szCs w:val="19"/>
                <w:color w:val="auto"/>
              </w:rPr>
            </w:pPr>
          </w:p>
        </w:tc>
      </w:tr>
      <w:tr>
        <w:trPr>
          <w:trHeight w:val="156"/>
        </w:trPr>
        <w:tc>
          <w:tcPr>
            <w:tcW w:w="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30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20" w:type="dxa"/>
            <w:vAlign w:val="bottom"/>
          </w:tcPr>
          <w:p>
            <w:pPr>
              <w:spacing w:after="0"/>
              <w:rPr>
                <w:sz w:val="13"/>
                <w:szCs w:val="13"/>
                <w:color w:val="auto"/>
              </w:rPr>
            </w:pPr>
          </w:p>
        </w:tc>
        <w:tc>
          <w:tcPr>
            <w:tcW w:w="58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300" w:type="dxa"/>
            <w:vAlign w:val="bottom"/>
          </w:tcPr>
          <w:p>
            <w:pPr>
              <w:spacing w:after="0"/>
              <w:rPr>
                <w:sz w:val="13"/>
                <w:szCs w:val="13"/>
                <w:color w:val="auto"/>
              </w:rPr>
            </w:pPr>
          </w:p>
        </w:tc>
        <w:tc>
          <w:tcPr>
            <w:tcW w:w="42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w w:val="96"/>
              </w:rPr>
              <w:t>2011</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3"/>
                <w:szCs w:val="13"/>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62" w:orient="portrait"/>
          <w:cols w:equalWidth="0" w:num="2">
            <w:col w:w="5540" w:space="720"/>
            <w:col w:w="5160"/>
          </w:cols>
          <w:pgMar w:left="240" w:top="131" w:right="23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$ 5,097</w:t>
            </w: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3"/>
              </w:rPr>
              <w:t>$ 7,778</w:t>
            </w:r>
          </w:p>
        </w:tc>
        <w:tc>
          <w:tcPr>
            <w:tcW w:w="220" w:type="dxa"/>
            <w:vAlign w:val="bottom"/>
          </w:tcPr>
          <w:p>
            <w:pPr>
              <w:spacing w:after="0"/>
              <w:rPr>
                <w:sz w:val="19"/>
                <w:szCs w:val="19"/>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$ 5,030</w:t>
            </w: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w w:val="76"/>
              </w:rPr>
              <w:t>$10,127</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w w:val="82"/>
              </w:rPr>
              <w:t>$12,534</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6,667</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4,726</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5,354</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12,021</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8,238</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2,040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2,776</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1,346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3,386</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4,038</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Intersegment sales</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760" w:type="dxa"/>
            <w:vAlign w:val="bottom"/>
            <w:gridSpan w:val="5"/>
          </w:tcPr>
          <w:p>
            <w:pPr>
              <w:jc w:val="right"/>
              <w:ind w:right="160"/>
              <w:spacing w:after="0"/>
              <w:rPr>
                <w:sz w:val="20"/>
                <w:szCs w:val="20"/>
                <w:color w:val="auto"/>
              </w:rPr>
            </w:pPr>
            <w:r>
              <w:rPr>
                <w:rFonts w:ascii="Arial" w:cs="Arial" w:eastAsia="Arial" w:hAnsi="Arial"/>
                <w:sz w:val="18"/>
                <w:szCs w:val="18"/>
                <w:color w:val="auto"/>
              </w:rPr>
              <w:t>(26)</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13,800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15,260</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11,704</w:t>
            </w:r>
          </w:p>
        </w:tc>
        <w:tc>
          <w:tcPr>
            <w:tcW w:w="560" w:type="dxa"/>
            <w:vAlign w:val="bottom"/>
            <w:gridSpan w:val="3"/>
          </w:tcPr>
          <w:p>
            <w:pPr>
              <w:jc w:val="right"/>
              <w:ind w:right="1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24,789</w:t>
            </w:r>
          </w:p>
        </w:tc>
      </w:tr>
      <w:tr>
        <w:trPr>
          <w:trHeight w:val="26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$ 4</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 -</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$ 4</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$ 4</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18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w:t>
            </w:r>
          </w:p>
        </w:tc>
      </w:tr>
      <w:tr>
        <w:trPr>
          <w:trHeight w:val="255"/>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5"/>
              </w:rPr>
              <w:t>Net revenues from unaffiliated customers (net of intersegment</w:t>
            </w:r>
          </w:p>
        </w:tc>
        <w:tc>
          <w:tcPr>
            <w:tcW w:w="1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$ 5,093</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3"/>
              </w:rPr>
              <w:t>$ 7,774</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$ 5,030</w:t>
            </w: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w w:val="76"/>
              </w:rPr>
              <w:t>$10,123</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w w:val="82"/>
              </w:rPr>
              <w:t>$12,530</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6,667</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4,726</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5,354</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12,021</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8,238</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2,040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2,760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1,320</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3,360</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4,021</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13,800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15,260</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11,704</w:t>
            </w:r>
          </w:p>
        </w:tc>
        <w:tc>
          <w:tcPr>
            <w:tcW w:w="560" w:type="dxa"/>
            <w:vAlign w:val="bottom"/>
            <w:gridSpan w:val="3"/>
          </w:tcPr>
          <w:p>
            <w:pPr>
              <w:jc w:val="right"/>
              <w:ind w:right="1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24,789</w:t>
            </w:r>
          </w:p>
        </w:tc>
      </w:tr>
      <w:tr>
        <w:trPr>
          <w:trHeight w:val="26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U.S.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$ 4,796</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3"/>
              </w:rPr>
              <w:t>$ 5,429</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$ 4,227</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3"/>
              </w:rPr>
              <w:t>$ 9,023</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$ 8,212</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Foreign</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9,004</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9,831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7,477</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16,481</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16,577</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13,800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15,260</w:t>
            </w:r>
          </w:p>
        </w:tc>
        <w:tc>
          <w:tcPr>
            <w:tcW w:w="220" w:type="dxa"/>
            <w:vAlign w:val="bottom"/>
          </w:tcPr>
          <w:p>
            <w:pPr>
              <w:spacing w:after="0"/>
              <w:rPr>
                <w:sz w:val="24"/>
                <w:szCs w:val="24"/>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11,704</w:t>
            </w:r>
          </w:p>
        </w:tc>
        <w:tc>
          <w:tcPr>
            <w:tcW w:w="560" w:type="dxa"/>
            <w:vAlign w:val="bottom"/>
            <w:gridSpan w:val="3"/>
          </w:tcPr>
          <w:p>
            <w:pPr>
              <w:jc w:val="right"/>
              <w:ind w:right="1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24,789</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Our consolidated net revenues for the quarter ended June 30, 2011 increased $2.1 million or 18% as compared the quarter ended March 31, 2011. Net revenues (net of intersegment sales) of our Mechanical, Thermal and Electrical Products segments increased $63,000 or 1%, $1.3 million or 25% and $720,000 or 55%, respectively, for the quarter ended June 30, 2011 as compared to the quarter ended March 31, 2011. We believe the level of our net revenues during the quarter ended June 30, 2011 reflects continued strong demand in the ATE industry, although, as can be seen in the lower percentage increase in the net revenues of our Mechanical Products segment, we have recently experienced some softening in the level of demand within the industry. We believe the impact of this softening in demand was offset for our Electrical Products segment by new business we were able to win at one of our largest customers. For our Thermal Products segment, the impact of both increases and decreases in demand within the ATE industry are less significant due to the fact that only approximately 40-50% of this segment's sales are to semiconductor manufacturers with the balance of its sales being to customers in various industries outside the ATE industry. In addition, our Thermal Products segment has historically lagged our other two product segments in regard</w:t>
      </w:r>
    </w:p>
    <w:p>
      <w:pPr>
        <w:sectPr>
          <w:pgSz w:w="11900" w:h="16862" w:orient="portrait"/>
          <w:cols w:equalWidth="0" w:num="1">
            <w:col w:w="11420"/>
          </w:cols>
          <w:pgMar w:left="240" w:top="131" w:right="239" w:bottom="0" w:gutter="0" w:footer="0" w:header="0"/>
          <w:type w:val="continuous"/>
        </w:sectPr>
      </w:pPr>
    </w:p>
    <w:bookmarkStart w:id="15" w:name="page16"/>
    <w:bookmarkEnd w:id="15"/>
    <w:p>
      <w:pPr>
        <w:spacing w:after="0" w:line="164"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to experiencing the impact of both increases and decreases in the levels of demand within the ATE industry; this historical trend has held true in this most recent up cycle.</w:t>
      </w:r>
    </w:p>
    <w:p>
      <w:pPr>
        <w:spacing w:after="0" w:line="186"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As compared to the same period in 2010, our consolidated net revenues for the quarter ended June 30, 2011 decreased $1.5 million or 10%. Net revenues (net of intersegment sales) of our Mechanical and Electrical Products segments decreased $2.7 million or 35% and $720,000 or 26%, respectively, while the net revenues (net of intersegment sales) of our Thermal Products segment increased $1.9 million or 41% for the quarter ended June 30, 2011 as compared to the same period in 2010. We believe the decreases in the net revenues of our Mechanical and Electrical Products segments for the quarter ended June 30, 2011 as compared to the same period in 2010 primarily reflect a spike in demand that was experienced by both of these segments during the second quarter of 2010 caused by pent up demand following the significant down cycle that the ATE industry experienced from 2007 through 2009. In early 2010, many of our customers accelerated their orders as the lead times for certain of our products began to increase, resulting in the spike in demand during the second quarter of 2010. In contrast to our Mechanical and Electrical products segments, the net revenues of our Thermal Products segment increased significantly in the second quarter of 2011 as compared to the same period in 2010, as previously mentioned. We believe this increase reflects both that this segment lagged our other two product segments in coming out of the 2007/2009 downturn, combined with the recent strength in the industries other than ATE to which this segment sells.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Total consolidated orders for the quarter ended June 30, 2011 were $13.5 million compared to $13.1 million for the quarter ended March 31, 2011 and $12.2 million for the quarter ended June 30, 2010. For the quarter ended June 30, 2011, orders for our Mechanical, Thermal and Electrical Products segments were $4.3 million, $7.5 million and $1.7 million, respectively, compared to $5.6 million, $5.8 million and $1.7 million for the quarter ended March 31, 2011, respectively, and $4.5 million, $5.7 million and $2.0 million for the quarter ended June 30, 2010, respectively. We cannot be certain what the level of our orders or net revenues will be in any future period for any of our product segments.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June 30, 2011, our backlog of unfilled orders for all products was approximately $7.2 million compared with approximately $7.5 million at March 31, 2011 and $6.0 million at June 30, 2010. Our backlog includes customer orders which we have accepted, substantially all of which we expect to deliver in 2011.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In response to the significant decline in our orders and net revenues during 2008 and early 2009, we took actions to reduce our cost structure, including facility closures, workforce reductions and temporary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impacts the ultimate level of savings which result from our restructuring actions. The actions we took during 2009 are discussed in Note 4 to our 2010 Form 10-K. There were no additional restructuring actions taken in either 2010 or the first six months of 2011.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six months ended June 30, 2011 and 2010, our OEM sales as a percentage of net revenues were 14% and 21%, respectively.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420"/>
        <w:spacing w:after="0" w:line="370" w:lineRule="auto"/>
        <w:rPr>
          <w:sz w:val="20"/>
          <w:szCs w:val="20"/>
          <w:color w:val="auto"/>
        </w:rPr>
      </w:pPr>
      <w:r>
        <w:rPr>
          <w:rFonts w:ascii="Arial" w:cs="Arial" w:eastAsia="Arial" w:hAnsi="Arial"/>
          <w:sz w:val="15"/>
          <w:szCs w:val="15"/>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w:t>
      </w:r>
    </w:p>
    <w:p>
      <w:pPr>
        <w:sectPr>
          <w:pgSz w:w="11900" w:h="17002" w:orient="portrait"/>
          <w:cols w:equalWidth="0" w:num="1">
            <w:col w:w="11380"/>
          </w:cols>
          <w:pgMar w:left="240" w:top="131" w:right="279" w:bottom="0" w:gutter="0" w:footer="0" w:header="0"/>
        </w:sectPr>
      </w:pPr>
    </w:p>
    <w:bookmarkStart w:id="16" w:name="page17"/>
    <w:bookmarkEnd w:id="16"/>
    <w:p>
      <w:pPr>
        <w:jc w:val="both"/>
        <w:ind w:left="540" w:right="80"/>
        <w:spacing w:after="0" w:line="259" w:lineRule="auto"/>
        <w:rPr>
          <w:sz w:val="20"/>
          <w:szCs w:val="20"/>
          <w:color w:val="auto"/>
        </w:rPr>
      </w:pPr>
      <w:r>
        <w:rPr>
          <w:rFonts w:ascii="Arial" w:cs="Arial" w:eastAsia="Arial" w:hAnsi="Arial"/>
          <w:sz w:val="18"/>
          <w:szCs w:val="18"/>
          <w:color w:val="auto"/>
        </w:rPr>
        <w:t>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8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aerospace, automotive, communications, consumer electronics, defense and medical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74"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2"/>
          </w:tcPr>
          <w:p>
            <w:pPr>
              <w:jc w:val="right"/>
              <w:ind w:right="580"/>
              <w:spacing w:after="0"/>
              <w:rPr>
                <w:sz w:val="20"/>
                <w:szCs w:val="20"/>
                <w:color w:val="auto"/>
              </w:rPr>
            </w:pPr>
            <w:r>
              <w:rPr>
                <w:rFonts w:ascii="Arial" w:cs="Arial" w:eastAsia="Arial" w:hAnsi="Arial"/>
                <w:sz w:val="14"/>
                <w:szCs w:val="14"/>
                <w:b w:val="1"/>
                <w:bCs w:val="1"/>
                <w:i w:val="1"/>
                <w:iCs w:val="1"/>
                <w:color w:val="auto"/>
                <w:w w:val="88"/>
              </w:rPr>
              <w:t>Percentage of Net Revenues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3"/>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i w:val="1"/>
                <w:iCs w:val="1"/>
                <w:color w:val="auto"/>
                <w:w w:val="84"/>
              </w:rPr>
              <w:t>Quarters Ended June 30,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i w:val="1"/>
                <w:iCs w:val="1"/>
                <w:color w:val="auto"/>
                <w:w w:val="84"/>
              </w:rPr>
              <w:t>Six Months Ended June 30,</w:t>
            </w:r>
          </w:p>
        </w:tc>
        <w:tc>
          <w:tcPr>
            <w:tcW w:w="180" w:type="dxa"/>
            <w:vAlign w:val="bottom"/>
            <w:gridSpan w:val="2"/>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i w:val="1"/>
                <w:iCs w:val="1"/>
                <w:color w:val="auto"/>
              </w:rPr>
              <w:t>2010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5"/>
          </w:tcPr>
          <w:p>
            <w:pPr>
              <w:jc w:val="right"/>
              <w:ind w:right="160"/>
              <w:spacing w:after="0"/>
              <w:rPr>
                <w:sz w:val="20"/>
                <w:szCs w:val="20"/>
                <w:color w:val="auto"/>
              </w:rPr>
            </w:pPr>
            <w:r>
              <w:rPr>
                <w:rFonts w:ascii="Arial" w:cs="Arial" w:eastAsia="Arial" w:hAnsi="Arial"/>
                <w:sz w:val="14"/>
                <w:szCs w:val="14"/>
                <w:b w:val="1"/>
                <w:bCs w:val="1"/>
                <w:i w:val="1"/>
                <w:iCs w:val="1"/>
                <w:color w:val="auto"/>
              </w:rPr>
              <w:t>2011</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7"/>
                <w:szCs w:val="7"/>
                <w:b w:val="1"/>
                <w:bCs w:val="1"/>
                <w:i w:val="1"/>
                <w:iCs w:val="1"/>
                <w:color w:val="auto"/>
                <w:w w:val="76"/>
              </w:rPr>
              <w:t>2010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2"/>
        </w:trPr>
        <w:tc>
          <w:tcPr>
            <w:tcW w:w="3500" w:type="dxa"/>
            <w:vAlign w:val="bottom"/>
          </w:tcPr>
          <w:p>
            <w:pPr>
              <w:spacing w:after="0"/>
              <w:rPr>
                <w:sz w:val="20"/>
                <w:szCs w:val="20"/>
                <w:color w:val="auto"/>
              </w:rPr>
            </w:pPr>
            <w:r>
              <w:rPr>
                <w:rFonts w:ascii="Arial" w:cs="Arial" w:eastAsia="Arial" w:hAnsi="Arial"/>
                <w:sz w:val="18"/>
                <w:szCs w:val="18"/>
                <w:color w:val="auto"/>
              </w:rPr>
              <w:t>Net revenues</w:t>
            </w: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100.0%</w:t>
            </w:r>
          </w:p>
        </w:tc>
        <w:tc>
          <w:tcPr>
            <w:tcW w:w="880" w:type="dxa"/>
            <w:vAlign w:val="bottom"/>
            <w:gridSpan w:val="6"/>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6"/>
          </w:tcPr>
          <w:p>
            <w:pPr>
              <w:jc w:val="right"/>
              <w:ind w:right="520"/>
              <w:spacing w:after="0"/>
              <w:rPr>
                <w:sz w:val="20"/>
                <w:szCs w:val="20"/>
                <w:color w:val="auto"/>
              </w:rPr>
            </w:pPr>
            <w:r>
              <w:rPr>
                <w:rFonts w:ascii="Arial" w:cs="Arial" w:eastAsia="Arial" w:hAnsi="Arial"/>
                <w:sz w:val="18"/>
                <w:szCs w:val="18"/>
                <w:color w:val="auto"/>
              </w:rPr>
              <w:t>100.0%</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75"/>
              </w:rPr>
              <w:t>100.0%</w:t>
            </w: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gridSpan w:val="2"/>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51.7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4</w:t>
            </w:r>
          </w:p>
        </w:tc>
        <w:tc>
          <w:tcPr>
            <w:tcW w:w="7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52.0</w:t>
            </w:r>
          </w:p>
        </w:tc>
        <w:tc>
          <w:tcPr>
            <w:tcW w:w="160" w:type="dxa"/>
            <w:vAlign w:val="bottom"/>
          </w:tcPr>
          <w:p>
            <w:pPr>
              <w:spacing w:after="0"/>
              <w:rPr>
                <w:sz w:val="24"/>
                <w:szCs w:val="24"/>
                <w:color w:val="auto"/>
              </w:rPr>
            </w:pP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gridSpan w:val="2"/>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48.3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6</w:t>
            </w:r>
          </w:p>
        </w:tc>
        <w:tc>
          <w:tcPr>
            <w:tcW w:w="7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48.0</w:t>
            </w:r>
          </w:p>
        </w:tc>
        <w:tc>
          <w:tcPr>
            <w:tcW w:w="160" w:type="dxa"/>
            <w:vAlign w:val="bottom"/>
          </w:tcPr>
          <w:p>
            <w:pPr>
              <w:spacing w:after="0"/>
              <w:rPr>
                <w:sz w:val="24"/>
                <w:szCs w:val="24"/>
                <w:color w:val="auto"/>
              </w:rPr>
            </w:pPr>
          </w:p>
        </w:tc>
      </w:tr>
      <w:tr>
        <w:trPr>
          <w:trHeight w:val="478"/>
        </w:trPr>
        <w:tc>
          <w:tcPr>
            <w:tcW w:w="3500" w:type="dxa"/>
            <w:vAlign w:val="bottom"/>
          </w:tcPr>
          <w:p>
            <w:pPr>
              <w:spacing w:after="0"/>
              <w:rPr>
                <w:sz w:val="20"/>
                <w:szCs w:val="20"/>
                <w:color w:val="auto"/>
              </w:rPr>
            </w:pPr>
            <w:r>
              <w:rPr>
                <w:rFonts w:ascii="Arial" w:cs="Arial" w:eastAsia="Arial" w:hAnsi="Arial"/>
                <w:sz w:val="18"/>
                <w:szCs w:val="18"/>
                <w:color w:val="auto"/>
              </w:rPr>
              <w:t>Selling expense</w:t>
            </w:r>
          </w:p>
        </w:tc>
        <w:tc>
          <w:tcPr>
            <w:tcW w:w="1000" w:type="dxa"/>
            <w:vAlign w:val="bottom"/>
            <w:gridSpan w:val="6"/>
          </w:tcPr>
          <w:p>
            <w:pPr>
              <w:jc w:val="right"/>
              <w:ind w:right="320"/>
              <w:spacing w:after="0"/>
              <w:rPr>
                <w:sz w:val="20"/>
                <w:szCs w:val="20"/>
                <w:color w:val="auto"/>
              </w:rPr>
            </w:pPr>
            <w:r>
              <w:rPr>
                <w:rFonts w:ascii="Arial" w:cs="Arial" w:eastAsia="Arial" w:hAnsi="Arial"/>
                <w:sz w:val="18"/>
                <w:szCs w:val="18"/>
                <w:color w:val="auto"/>
              </w:rPr>
              <w:t>11.5</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12.0</w:t>
            </w:r>
          </w:p>
        </w:tc>
        <w:tc>
          <w:tcPr>
            <w:tcW w:w="160" w:type="dxa"/>
            <w:vAlign w:val="bottom"/>
          </w:tcPr>
          <w:p>
            <w:pPr>
              <w:spacing w:after="0"/>
              <w:rPr>
                <w:sz w:val="24"/>
                <w:szCs w:val="24"/>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w w:val="92"/>
              </w:rPr>
              <w:t>Engineering and product development expense</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6.4</w:t>
            </w:r>
          </w:p>
        </w:tc>
        <w:tc>
          <w:tcPr>
            <w:tcW w:w="7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10.8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9</w:t>
            </w:r>
          </w:p>
        </w:tc>
        <w:tc>
          <w:tcPr>
            <w:tcW w:w="7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12.6</w:t>
            </w:r>
          </w:p>
        </w:tc>
        <w:tc>
          <w:tcPr>
            <w:tcW w:w="160" w:type="dxa"/>
            <w:vAlign w:val="bottom"/>
          </w:tcPr>
          <w:p>
            <w:pPr>
              <w:spacing w:after="0"/>
              <w:rPr>
                <w:sz w:val="24"/>
                <w:szCs w:val="24"/>
                <w:color w:val="auto"/>
              </w:rPr>
            </w:pPr>
          </w:p>
        </w:tc>
      </w:tr>
      <w:tr>
        <w:trPr>
          <w:trHeight w:val="478"/>
        </w:trPr>
        <w:tc>
          <w:tcPr>
            <w:tcW w:w="3500" w:type="dxa"/>
            <w:vAlign w:val="bottom"/>
          </w:tcPr>
          <w:p>
            <w:pPr>
              <w:spacing w:after="0"/>
              <w:rPr>
                <w:sz w:val="20"/>
                <w:szCs w:val="20"/>
                <w:color w:val="auto"/>
              </w:rPr>
            </w:pPr>
            <w:r>
              <w:rPr>
                <w:rFonts w:ascii="Arial" w:cs="Arial" w:eastAsia="Arial" w:hAnsi="Arial"/>
                <w:sz w:val="18"/>
                <w:szCs w:val="18"/>
                <w:color w:val="auto"/>
              </w:rPr>
              <w:t>Operating income</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15.6</w:t>
            </w:r>
          </w:p>
        </w:tc>
        <w:tc>
          <w:tcPr>
            <w:tcW w:w="7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17.4</w:t>
            </w:r>
          </w:p>
        </w:tc>
        <w:tc>
          <w:tcPr>
            <w:tcW w:w="160" w:type="dxa"/>
            <w:vAlign w:val="bottom"/>
          </w:tcPr>
          <w:p>
            <w:pPr>
              <w:spacing w:after="0"/>
              <w:rPr>
                <w:sz w:val="24"/>
                <w:szCs w:val="24"/>
                <w:color w:val="auto"/>
              </w:rPr>
            </w:pP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gridSpan w:val="3"/>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5"/>
          </w:tcPr>
          <w:p>
            <w:pPr>
              <w:jc w:val="right"/>
              <w:ind w:right="240"/>
              <w:spacing w:after="0"/>
              <w:rPr>
                <w:sz w:val="20"/>
                <w:szCs w:val="20"/>
                <w:color w:val="auto"/>
              </w:rPr>
            </w:pPr>
            <w:r>
              <w:rPr>
                <w:rFonts w:ascii="Arial" w:cs="Arial" w:eastAsia="Arial" w:hAnsi="Arial"/>
                <w:sz w:val="18"/>
                <w:szCs w:val="18"/>
                <w:color w:val="auto"/>
                <w:w w:val="91"/>
              </w:rPr>
              <w:t>(0.1)</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700" w:type="dxa"/>
            <w:vAlign w:val="bottom"/>
          </w:tcPr>
          <w:p>
            <w:pPr>
              <w:spacing w:after="0"/>
              <w:rPr>
                <w:sz w:val="24"/>
                <w:szCs w:val="24"/>
                <w:color w:val="auto"/>
              </w:rPr>
            </w:pPr>
          </w:p>
        </w:tc>
        <w:tc>
          <w:tcPr>
            <w:tcW w:w="480" w:type="dxa"/>
            <w:vAlign w:val="bottom"/>
            <w:gridSpan w:val="4"/>
          </w:tcPr>
          <w:p>
            <w:pPr>
              <w:jc w:val="right"/>
              <w:ind w:right="120"/>
              <w:spacing w:after="0"/>
              <w:rPr>
                <w:sz w:val="20"/>
                <w:szCs w:val="20"/>
                <w:color w:val="auto"/>
              </w:rPr>
            </w:pPr>
            <w:r>
              <w:rPr>
                <w:rFonts w:ascii="Arial" w:cs="Arial" w:eastAsia="Arial" w:hAnsi="Arial"/>
                <w:sz w:val="18"/>
                <w:szCs w:val="18"/>
                <w:color w:val="auto"/>
                <w:w w:val="91"/>
              </w:rPr>
              <w:t>(0.1)</w:t>
            </w:r>
          </w:p>
        </w:tc>
      </w:tr>
      <w:tr>
        <w:trPr>
          <w:trHeight w:val="20"/>
        </w:trPr>
        <w:tc>
          <w:tcPr>
            <w:tcW w:w="35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8"/>
        </w:trPr>
        <w:tc>
          <w:tcPr>
            <w:tcW w:w="3500" w:type="dxa"/>
            <w:vAlign w:val="bottom"/>
          </w:tcPr>
          <w:p>
            <w:pPr>
              <w:spacing w:after="0"/>
              <w:rPr>
                <w:sz w:val="20"/>
                <w:szCs w:val="20"/>
                <w:color w:val="auto"/>
              </w:rPr>
            </w:pPr>
            <w:r>
              <w:rPr>
                <w:rFonts w:ascii="Arial" w:cs="Arial" w:eastAsia="Arial" w:hAnsi="Arial"/>
                <w:sz w:val="18"/>
                <w:szCs w:val="18"/>
                <w:color w:val="auto"/>
                <w:w w:val="95"/>
              </w:rPr>
              <w:t>Earnings before income tax expense (benefit)</w:t>
            </w:r>
          </w:p>
        </w:tc>
        <w:tc>
          <w:tcPr>
            <w:tcW w:w="360" w:type="dxa"/>
            <w:vAlign w:val="bottom"/>
            <w:gridSpan w:val="3"/>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19.8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20.7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15.9</w:t>
            </w:r>
          </w:p>
        </w:tc>
        <w:tc>
          <w:tcPr>
            <w:tcW w:w="7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17.3</w:t>
            </w:r>
          </w:p>
        </w:tc>
        <w:tc>
          <w:tcPr>
            <w:tcW w:w="160" w:type="dxa"/>
            <w:vAlign w:val="bottom"/>
          </w:tcPr>
          <w:p>
            <w:pPr>
              <w:spacing w:after="0"/>
              <w:rPr>
                <w:sz w:val="24"/>
                <w:szCs w:val="24"/>
                <w:color w:val="auto"/>
              </w:rPr>
            </w:pP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7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p>
        </w:tc>
        <w:tc>
          <w:tcPr>
            <w:tcW w:w="880" w:type="dxa"/>
            <w:vAlign w:val="bottom"/>
            <w:gridSpan w:val="6"/>
          </w:tcPr>
          <w:p>
            <w:pPr>
              <w:jc w:val="right"/>
              <w:ind w:right="12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p>
        </w:tc>
        <w:tc>
          <w:tcPr>
            <w:tcW w:w="1400" w:type="dxa"/>
            <w:vAlign w:val="bottom"/>
            <w:gridSpan w:val="6"/>
          </w:tcPr>
          <w:p>
            <w:pPr>
              <w:jc w:val="right"/>
              <w:ind w:right="52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2"/>
              </w:rPr>
              <w:t>17.</w:t>
            </w:r>
            <w:r>
              <w:rPr>
                <w:rFonts w:ascii="Arial" w:cs="Arial" w:eastAsia="Arial" w:hAnsi="Arial"/>
                <w:sz w:val="18"/>
                <w:szCs w:val="18"/>
                <w:u w:val="single" w:color="auto"/>
                <w:color w:val="auto"/>
                <w:w w:val="82"/>
              </w:rPr>
              <w:t>3</w:t>
            </w:r>
            <w:r>
              <w:rPr>
                <w:rFonts w:ascii="Arial" w:cs="Arial" w:eastAsia="Arial" w:hAnsi="Arial"/>
                <w:sz w:val="18"/>
                <w:szCs w:val="18"/>
                <w:color w:val="auto"/>
                <w:w w:val="82"/>
              </w:rPr>
              <w:t xml:space="preserve"> %</w:t>
            </w: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2011 Compared to Quarter Ended June 30, 2010</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Net Revenues. </w:t>
      </w:r>
      <w:r>
        <w:rPr>
          <w:rFonts w:ascii="Arial" w:cs="Arial" w:eastAsia="Arial" w:hAnsi="Arial"/>
          <w:sz w:val="15"/>
          <w:szCs w:val="15"/>
          <w:color w:val="auto"/>
        </w:rPr>
        <w:t>Net revenues were $13.8 million for the quarter ended June 30, 2011 compared to $15.3 million for the same period in 2010, a decrease of</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$1.5 million or 10%. Net revenues (net of intersegment sales) of our Mechanical and Electrical Products segments decreased $2.7 million or 35%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$720,000 or 26%, respectively, while the net revenues (net of intersegment sales) of our Thermal Products segment increased $1.9 million or 41% for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quarter ended June 30, 2011 as compared to the same period in 2010. We believe the decrease in our consolidated net revenues during the second quarter</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2011 primarily reflects the factors previously discussed in the Overview.</w:t>
      </w:r>
    </w:p>
    <w:p>
      <w:pPr>
        <w:spacing w:after="0" w:line="21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quarter ended June 30, 2011, our net revenues from customers in the U.S. decreased 12% and our net revenues from foreign customers decreased 8%, as compared to the same period in 2010. Adjusted to eliminate the impact of changes in foreign currency exchange rates, the decrease from foreign customers would have been 10%.</w:t>
      </w:r>
    </w:p>
    <w:p>
      <w:pPr>
        <w:spacing w:after="0" w:line="194"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49% for the second quarter of 2011 compared to 48% for the same period in 2010. While our fixed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declined in absolute dollar terms by $154,000 during the second quarter of 2011 as compared to the same period in 2010, as a result of the decline in the level of our consolidated net revenues during this period, these costs remained unchanged at 11% of net revenues for both periods. The decline in the absolute dollar value of these costs during the second quarter of 2011 as compared to the same period in 2010 primarily reflects lower facility related costs as a result of the relocation of our domestic Mechanical and Thermal Products segments during the first quarter of 2011. During the quarter ended June 30, 2011, our direct labor costs decreased $65,000, primarily reflecting the reduction in the level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consolidated net revenues, and our charges for obsolete and excess inventory decreased $100,000, primarily reflecting fewer items falling into our standard obsolete and excess criteria. As a percentage of net revenues, the combined decrease in our direct labor costs and our charges for obsolete and excess inventory was approximately 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$1.6 million for the second quarter of 2011 compared to $1.8 million for the same period in 2010, a decrease of</w:t>
      </w:r>
    </w:p>
    <w:p>
      <w:pPr>
        <w:spacing w:after="0" w:line="38" w:lineRule="exact"/>
        <w:rPr>
          <w:sz w:val="20"/>
          <w:szCs w:val="20"/>
          <w:color w:val="auto"/>
        </w:rPr>
      </w:pPr>
    </w:p>
    <w:p>
      <w:pPr>
        <w:ind w:left="540"/>
        <w:spacing w:after="0" w:line="302" w:lineRule="auto"/>
        <w:rPr>
          <w:sz w:val="20"/>
          <w:szCs w:val="20"/>
          <w:color w:val="auto"/>
        </w:rPr>
      </w:pPr>
      <w:r>
        <w:rPr>
          <w:rFonts w:ascii="Arial" w:cs="Arial" w:eastAsia="Arial" w:hAnsi="Arial"/>
          <w:sz w:val="16"/>
          <w:szCs w:val="16"/>
          <w:color w:val="auto"/>
        </w:rPr>
        <w:t>$167,000 or 10%. The decrease in selling expense primarily reflects lower levels of commissions as a result of the decrease in net revenues experienced in the second quarter of 2011 as compared to the second quarter of 2010. To a lesser extent, there was also a decrease in accruals for product warranty claims. These decreases were partially offset by an increase in salary and benefits expense reflecting the hiring of additional sales staff.</w:t>
      </w:r>
    </w:p>
    <w:p>
      <w:pPr>
        <w:sectPr>
          <w:pgSz w:w="11900" w:h="16838" w:orient="portrait"/>
          <w:cols w:equalWidth="0" w:num="1">
            <w:col w:w="11400"/>
          </w:cols>
          <w:pgMar w:left="240" w:top="131" w:right="259" w:bottom="0" w:gutter="0" w:footer="0" w:header="0"/>
        </w:sectPr>
      </w:pPr>
    </w:p>
    <w:bookmarkStart w:id="17" w:name="page18"/>
    <w:bookmarkEnd w:id="17"/>
    <w:p>
      <w:pPr>
        <w:ind w:left="540" w:right="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$822,000 for the second quarter of 2011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$787,000 for the same period in 2010, an increase of $35,000 or 4%. The increase in engineering and product development expense primarily reflects higher legal fees related to our intellectual property.</w:t>
      </w:r>
    </w:p>
    <w:p>
      <w:pPr>
        <w:spacing w:after="0" w:line="194"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relatively unchanged at $1.7 million for both the second quarter of 2011</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same period in 2010. Higher levels of professional fees, primarily related to the filing of our shelf registration statement on Form S-3 in May 2011, were offset by a reduction in bad debt expense.</w:t>
      </w:r>
    </w:p>
    <w:p>
      <w:pPr>
        <w:spacing w:after="0" w:line="194"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$10,000 for the second quarter of 2011 compared to other expense of $8,000 for the second quarter of 2010.</w:t>
      </w:r>
      <w:r>
        <w:rPr>
          <w:rFonts w:ascii="Arial" w:cs="Arial" w:eastAsia="Arial" w:hAnsi="Arial"/>
          <w:sz w:val="18"/>
          <w:szCs w:val="18"/>
          <w:i w:val="1"/>
          <w:iCs w:val="1"/>
          <w:color w:val="auto"/>
        </w:rPr>
        <w:t xml:space="preserve"> </w:t>
      </w:r>
      <w:r>
        <w:rPr>
          <w:rFonts w:ascii="Arial" w:cs="Arial" w:eastAsia="Arial" w:hAnsi="Arial"/>
          <w:sz w:val="18"/>
          <w:szCs w:val="18"/>
          <w:color w:val="auto"/>
        </w:rPr>
        <w:t>The shift from other expense in 2010 to other income in 2011 primarily reflects lower interest expense as a result of the repayment of the notes payable to stockholder during the fourth quarter of 2010.</w:t>
      </w:r>
    </w:p>
    <w:p>
      <w:pPr>
        <w:spacing w:after="0" w:line="194"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June 30, 2011, we recorded income tax expense of $78,000 compared to an income tax benefit of $2,000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2010.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 The income tax expense recorded in 2011 primarily represents tax liabilities in various states in which we operate.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2011 Compared to Six Months Ended June 30, 2010</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$25.5 million for the six months ended June 30, 2011 compared to $24.8 million for the same period in 2010,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$715,000 or 3%. Net revenues (net of intersegment sales) of our Mechanical and Electrical Products segments decreased $2.4 million or 19% and $661,000 or 16%, respectively, while the net revenues (net of intersegment sales) of our Thermal Products segment increased $3.8 million or 46% for the six months ended June 30, 2011 as compared to the same period in 2010. We believe the increase in our consolidated net revenues during the first six months of 2011 primarily reflects the factors previously discussed in the Overview.</w:t>
      </w:r>
    </w:p>
    <w:p>
      <w:pPr>
        <w:spacing w:after="0" w:line="170"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During the six months ended June 30, 2011, our net revenues from customers in the U.S. increased 10% while our net revenues from foreign customers decreased 1%, respectively, as compared to the same period in 2010. Adjusted to eliminate the impact of changes in foreign currency exchange rates, the decrease from foreign customers would have been 2%.</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47% for the six months ended June 30, 2011 compared to 48% for the same period in 2010. While our fixed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increased in absolute dollar terms by $321,000 during the first six months of 2011 as compared to the same period in 2010, these costs remained relatively unchanged at 13% of net revenues for both periods. The increase in the absolute dollar value of these costs was primarily the result of higher salary and benefits expense during the first six months of 2011 as compared to the same period in 2010, reflecting additional headcount and, to a lesser extent, the restoration of 401(k) Plan discretionary matching contributions effective April 1, 2010 and annual raises for employees which generally occur each July. We also incurred additional rent and maintenance costs associated with the relocation of our domestic Mechanical and Thermal Products segments during the first quarter of 2011. The move-related costs included in our fixed operating costs for the first six months of 2011 were $74,000. Our direct labor costs were relatively unchanged, both in absolute dollar terms and as a percentage of net revenues for the first six months of 2011 as compared to the same period in 2010. Our charges for obsolete and excess inventory were relatively unchanged at approximately 1% of net revenues for both the first six months of 2011 and 2010; however, in absolute dollar terms, these charges decreased $156,000 during the first six month of 2011 as compared to the same period in 2010, primarily reflecting fewer items falling into our standard obsolete and excess criteria.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relatively unchanged at $3.0 million for both the first six months of 2011 and 2010. Lower levels of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reflecting changes in product and customer mix were offset by an increase in salary and benefits expense, primarily reflecting the hiring of additional sales staff and, to a lesser extent, the aforementioned restoration of the 401(k) Plan discretionary matching contributions.</w:t>
      </w:r>
    </w:p>
    <w:p>
      <w:pPr>
        <w:spacing w:after="0" w:line="161" w:lineRule="exact"/>
        <w:rPr>
          <w:sz w:val="20"/>
          <w:szCs w:val="20"/>
          <w:color w:val="auto"/>
        </w:rPr>
      </w:pPr>
    </w:p>
    <w:p>
      <w:pPr>
        <w:ind w:left="540" w:right="280"/>
        <w:spacing w:after="0" w:line="323" w:lineRule="auto"/>
        <w:rPr>
          <w:sz w:val="20"/>
          <w:szCs w:val="20"/>
          <w:color w:val="auto"/>
        </w:rPr>
      </w:pPr>
      <w:r>
        <w:rPr>
          <w:rFonts w:ascii="Arial" w:cs="Arial" w:eastAsia="Arial" w:hAnsi="Arial"/>
          <w:sz w:val="15"/>
          <w:szCs w:val="15"/>
          <w:i w:val="1"/>
          <w:iCs w:val="1"/>
          <w:color w:val="auto"/>
        </w:rPr>
        <w:t xml:space="preserve">Engineering and Product Development Expense. </w:t>
      </w:r>
      <w:r>
        <w:rPr>
          <w:rFonts w:ascii="Arial" w:cs="Arial" w:eastAsia="Arial" w:hAnsi="Arial"/>
          <w:sz w:val="15"/>
          <w:szCs w:val="15"/>
          <w:color w:val="auto"/>
        </w:rPr>
        <w:t>Engineering and product development expense was $1.6 million for the first six months of 2011</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$1.5 million for the same period in 2010, an increase of $147,000 or 10%. The increase in engineering and product development expense reflects higher legal fees related to our intellectual property, an increase in salary and benefits expense, primarily as a result of the aforementioned restoration of 401(k) Plan discretionary matching contributions and higher levels of spending on materials used in research and development activities.</w:t>
      </w:r>
    </w:p>
    <w:p>
      <w:pPr>
        <w:spacing w:after="0" w:line="152" w:lineRule="exact"/>
        <w:rPr>
          <w:sz w:val="20"/>
          <w:szCs w:val="20"/>
          <w:color w:val="auto"/>
        </w:rPr>
      </w:pPr>
    </w:p>
    <w:p>
      <w:pPr>
        <w:ind w:left="540" w:right="18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$3.3 million for the first six months of 2011 compared to $3.1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2010, an increase of $166,000 or 5%. This increase was primarily a result of higher salary and benefits expense reflecting additional headcount and, to a lesser extent, the aforementioned restoration of 401(k) Plan discretionary matching contributions and annual raises for employees which generally occur each July. Also contributing to the increase were $54,000 of costs associated with the relocation of our domestic Mechanical and Thermal Products segments during the first quarter of 2011 and professional fees related to the filing of our shelf registration statement on Form S-3 in May 2011. These increases were partially offset by a reduction in bad debt expense.</w:t>
      </w:r>
    </w:p>
    <w:p>
      <w:pPr>
        <w:spacing w:after="0" w:line="17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was $66,000 for the first six months of 2011 compared to other expense of $19,000 for the same period in 2010.</w:t>
      </w:r>
      <w:r>
        <w:rPr>
          <w:rFonts w:ascii="Arial" w:cs="Arial" w:eastAsia="Arial" w:hAnsi="Arial"/>
          <w:sz w:val="16"/>
          <w:szCs w:val="16"/>
          <w:i w:val="1"/>
          <w:iCs w:val="1"/>
          <w:color w:val="auto"/>
        </w:rPr>
        <w:t xml:space="preserve"> </w:t>
      </w:r>
      <w:r>
        <w:rPr>
          <w:rFonts w:ascii="Arial" w:cs="Arial" w:eastAsia="Arial" w:hAnsi="Arial"/>
          <w:sz w:val="16"/>
          <w:szCs w:val="16"/>
          <w:color w:val="auto"/>
        </w:rPr>
        <w:t>The shift from other expense in 2010 to other income in 2011 primarily reflects lower interest expense as a result of the repayment of the notes payable to stockholder during the fourth quarter of 2010 combined with a gain on sale of machinery and equipment during the first quarter of 2011.</w:t>
      </w:r>
    </w:p>
    <w:p>
      <w:pPr>
        <w:spacing w:after="0" w:line="161" w:lineRule="exact"/>
        <w:rPr>
          <w:sz w:val="20"/>
          <w:szCs w:val="20"/>
          <w:color w:val="auto"/>
        </w:rPr>
      </w:pPr>
    </w:p>
    <w:p>
      <w:pPr>
        <w:ind w:left="540" w:right="220"/>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six months ended June 30, 2011, we recorded income tax expense of $138,000 compared to income tax expense of $1,000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2010.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 The income tax expense recorded in 2011 primarily represents tax liabilities in various states in which we operate.</w:t>
      </w:r>
    </w:p>
    <w:p>
      <w:pPr>
        <w:sectPr>
          <w:pgSz w:w="11900" w:h="16838" w:orient="portrait"/>
          <w:cols w:equalWidth="0" w:num="1">
            <w:col w:w="11420"/>
          </w:cols>
          <w:pgMar w:left="240" w:top="347" w:right="239" w:bottom="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100"/>
        <w:spacing w:after="0" w:line="318" w:lineRule="auto"/>
        <w:rPr>
          <w:sz w:val="20"/>
          <w:szCs w:val="20"/>
          <w:color w:val="auto"/>
        </w:rPr>
      </w:pPr>
      <w:r>
        <w:rPr>
          <w:rFonts w:ascii="Arial" w:cs="Arial" w:eastAsia="Arial" w:hAnsi="Arial"/>
          <w:sz w:val="15"/>
          <w:szCs w:val="15"/>
          <w:color w:val="auto"/>
        </w:rPr>
        <w:t>Net cash provided by operations for the six months ended June 30, 2011 was $2.5 million compared to net cash provided by operations of $623,000 for the same period in 2010. The increase in net cash provided by operations primarily reflects a lower level of increase in the amount of accounts receivable during the first six months of 2011 as compared to the first six months of 2010. During the first six months of 2011, accounts receivable increased $2.0 million compared to an increase of $5.3 million during the first six months of 2010. The lower level of increase in the first six months of 2011 primarily reflects that there was a more significant increase in sales activity late in the second quarter of 2010 as compared to the same period in 2011.</w:t>
      </w:r>
    </w:p>
    <w:p>
      <w:pPr>
        <w:spacing w:after="0" w:line="154"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During the first six months of 2011, inventories increased $761,000 and accounts payable increased $432,000, reflecting increased business activity. Other accrued expenses increased $383,000 during the six months ended June 30, 2011, primarily reflecting an increase in the amount of customer deposits on hand combined with higher accrued rent as a result of the relocation of two of our domestic facilities in the first quarter of 2011. Accrued wages and benefits decreased $295,000 during the six months ended June 30, 2011, primarily reflecting the payment in March 2011 of profit-related bonuses that had been accrued based on the financial results for the year ended December 31, 2010.</w:t>
      </w:r>
    </w:p>
    <w:p>
      <w:pPr>
        <w:spacing w:after="0" w:line="170"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Purchases of property and equipment were $640,000 for the six months ended June 30, 2011. These purchases primarily represent leasehold improvements and other equipment purchased as a result of the relocation of two of our domestic facilities during the first quarter of 2011. We have no significant commitments for capital expenditures for the balance of 2011, however, depending upon changes in market demand, we may make such purchases as we deem necessary and appropriate.</w:t>
      </w:r>
    </w:p>
    <w:p>
      <w:pPr>
        <w:spacing w:after="0" w:line="197"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 This credit facility expires on September 30, 2011. On April 1, 2010 and November 8, 2010, two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additional letters of credit were issued in the face amounts of $250,000 and $200,000, respectively. These letters of credit are supported by separate pledged certificates of deposit that are not a part of our secured credit facility.</w:t>
      </w:r>
    </w:p>
    <w:p>
      <w:pPr>
        <w:spacing w:after="0" w:line="186"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On May 4, 2011, we filed a shelf registration statement on Form S-3 with the Securities and Exchange Commission for the offering, from time to time, of securities to be issued by us. The shelf registration statement will allow us to raise capital from the offering of up to $30 million of common stock, preferred stock, warrants, debt securities and/or units, conducted in one or more offerings while the shelf registration statement is effective. The specific terms of any particular securities that we may offer will be determined at the time of such offering and will be described in a separately filed prospectus supplement at the time of such offering. The maximum amount of securities offered and sold under the registration statement during any period of twelve months immediately prior to and including such sale, may not exceed one-third of the aggregate market value of the common equity held by non-affiliates. An offering under this registration statement would provide us with increased financial flexibility. Proceeds may be used for possible acquisitions of businesses, technologies or products that are complementary to our existing businesses or for other general corporate purposes, including working capital.</w:t>
      </w:r>
    </w:p>
    <w:p>
      <w:pPr>
        <w:spacing w:after="0" w:line="17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As of June 30, 2011, we had cash and cash equivalents of $8.9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Income Tax Valuation Allowance</w:t>
      </w:r>
    </w:p>
    <w:p>
      <w:pPr>
        <w:spacing w:after="0" w:line="231"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color w:val="auto"/>
        </w:rPr>
        <w:t>At June 30, 2011, we had a full valuation allowance recorded against our deferred tax assets of $3.2 million. In assessing the ability to realize our deferred tax assets, we consider whether it is more likely than not that some portion or all of the deferred tax assets will not be realized. In recent years, due to our history of operating losses, we believed it was more likely than not that we would not ultimately realize the benefit of the deferred tax assets.</w:t>
      </w:r>
    </w:p>
    <w:p>
      <w:pPr>
        <w:spacing w:after="0" w:line="16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returned to profitability in the fourth quarter of 2009 and have been profitable since that time. We currently expect our profitability to continue for the balance of 2011 and into 2012. In the foreseeable future, we expect that we will determine that it is more likely than not that we will be able to realize some portion or all of the deferred tax assets. At that time, we expect to reverse that portion of the valuation allowance related to the deferred tax assets that we believe are more likely than not to be realized.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2011, there have been no significant changes to the accounting policies that we have deemed critical. These policies are more fully described in our 2010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ectPr>
          <w:pgSz w:w="11900" w:h="16838" w:orient="portrait"/>
          <w:cols w:equalWidth="0" w:num="1">
            <w:col w:w="11420"/>
          </w:cols>
          <w:pgMar w:left="240" w:top="125" w:right="239" w:bottom="0" w:gutter="0" w:footer="0" w:header="0"/>
        </w:sectPr>
      </w:pPr>
    </w:p>
    <w:bookmarkStart w:id="19" w:name="page20"/>
    <w:bookmarkEnd w:id="19"/>
    <w:p>
      <w:pPr>
        <w:spacing w:after="0" w:line="46"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June 30, 2011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 - - - - - - - - - - - - - - - - - - - - - - - - - -</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w:t>
      </w:r>
    </w:p>
    <w:p>
      <w:pPr>
        <w:sectPr>
          <w:pgSz w:w="11900" w:h="16885" w:orient="portrait"/>
          <w:cols w:equalWidth="0" w:num="1">
            <w:col w:w="11420"/>
          </w:cols>
          <w:pgMar w:left="240" w:top="347" w:right="239" w:bottom="0" w:gutter="0" w:footer="0" w:header="0"/>
        </w:sectPr>
      </w:pPr>
    </w:p>
    <w:bookmarkStart w:id="20" w:name="page21"/>
    <w:bookmarkEnd w:id="20"/>
    <w:p>
      <w:pPr>
        <w:ind w:left="540"/>
        <w:spacing w:after="0"/>
        <w:rPr>
          <w:sz w:val="20"/>
          <w:szCs w:val="20"/>
          <w:color w:val="auto"/>
        </w:rPr>
      </w:pPr>
      <w:r>
        <w:rPr>
          <w:rFonts w:ascii="Arial" w:cs="Arial" w:eastAsia="Arial" w:hAnsi="Arial"/>
          <w:sz w:val="15"/>
          <w:szCs w:val="15"/>
          <w:color w:val="auto"/>
        </w:rPr>
        <w:t>Form 10-K for the year ended December 31, 2010. There have been no significant changes in risk factors from those set forth in our 2010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2011</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2011</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ind w:left="400" w:right="538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ind w:left="400" w:right="4820" w:hanging="394"/>
        <w:spacing w:after="0" w:line="332" w:lineRule="auto"/>
        <w:rPr>
          <w:sz w:val="20"/>
          <w:szCs w:val="20"/>
          <w:color w:val="auto"/>
        </w:rPr>
      </w:pPr>
      <w:r>
        <w:rPr>
          <w:rFonts w:ascii="Arial" w:cs="Arial" w:eastAsia="Arial" w:hAnsi="Arial"/>
          <w:sz w:val="16"/>
          <w:szCs w:val="16"/>
          <w:color w:val="auto"/>
        </w:rPr>
        <w:t>3.2* ByLaws of inTEST Corporation, as amended on October 30, 2007: Previously filed as Exhibit 3.2 of the Company's Form 8-K on November 5, 2007 and incorporated</w:t>
      </w:r>
    </w:p>
    <w:p>
      <w:pPr>
        <w:sectPr>
          <w:pgSz w:w="11900" w:h="16838" w:orient="portrait"/>
          <w:cols w:equalWidth="0" w:num="1">
            <w:col w:w="11100"/>
          </w:cols>
          <w:pgMar w:left="240" w:top="131" w:right="559" w:bottom="0" w:gutter="0" w:footer="0" w:header="0"/>
        </w:sectPr>
      </w:pPr>
    </w:p>
    <w:bookmarkStart w:id="21" w:name="page22"/>
    <w:bookmarkEnd w:id="21"/>
    <w:p>
      <w:pPr>
        <w:ind w:left="400"/>
        <w:spacing w:after="0"/>
        <w:rPr>
          <w:sz w:val="20"/>
          <w:szCs w:val="20"/>
          <w:color w:val="auto"/>
        </w:rPr>
      </w:pPr>
      <w:r>
        <w:rPr>
          <w:rFonts w:ascii="Arial" w:cs="Arial" w:eastAsia="Arial" w:hAnsi="Arial"/>
          <w:sz w:val="18"/>
          <w:szCs w:val="18"/>
          <w:color w:val="auto"/>
        </w:rPr>
        <w:t>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00" w:lineRule="exact"/>
        <w:rPr>
          <w:sz w:val="20"/>
          <w:szCs w:val="20"/>
          <w:color w:val="auto"/>
        </w:rPr>
      </w:pP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131"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2011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2011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2019-12-10T15:48:22Z</dcterms:created>
  <dcterms:modified xsi:type="dcterms:W3CDTF">2019-12-10T15:48:22Z</dcterms:modified>
</cp:coreProperties>
</file>