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9878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135890</wp:posOffset>
            </wp:positionV>
            <wp:extent cx="39878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June 30, 2012</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46" w:lineRule="exact"/>
        <w:rPr>
          <w:sz w:val="24"/>
          <w:szCs w:val="24"/>
          <w:color w:val="auto"/>
        </w:rPr>
      </w:pPr>
    </w:p>
    <w:p>
      <w:pPr>
        <w:jc w:val="center"/>
        <w:ind w:right="-13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6576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5760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020" w:type="dxa"/>
            <w:vAlign w:val="bottom"/>
          </w:tcPr>
          <w:p>
            <w:pPr>
              <w:jc w:val="right"/>
              <w:ind w:right="2592"/>
              <w:spacing w:after="0"/>
              <w:rPr>
                <w:sz w:val="20"/>
                <w:szCs w:val="20"/>
                <w:color w:val="auto"/>
              </w:rPr>
            </w:pPr>
            <w:r>
              <w:rPr>
                <w:rFonts w:ascii="Arial" w:cs="Arial" w:eastAsia="Arial" w:hAnsi="Arial"/>
                <w:sz w:val="18"/>
                <w:szCs w:val="18"/>
                <w:color w:val="auto"/>
              </w:rPr>
              <w:t>___</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tcPr>
          <w:p>
            <w:pPr>
              <w:jc w:val="right"/>
              <w:ind w:right="9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440" w:type="dxa"/>
            <w:vAlign w:val="bottom"/>
            <w:gridSpan w:val="2"/>
          </w:tcPr>
          <w:p>
            <w:pPr>
              <w:ind w:left="22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July 31, 2012:</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10,430,178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960"/>
        <w:spacing w:after="0"/>
        <w:tabs>
          <w:tab w:leader="none" w:pos="172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9"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900" w:type="dxa"/>
            <w:vAlign w:val="bottom"/>
            <w:gridSpan w:val="2"/>
          </w:tcPr>
          <w:p>
            <w:pPr>
              <w:jc w:val="center"/>
              <w:ind w:left="452"/>
              <w:spacing w:after="0"/>
              <w:rPr>
                <w:sz w:val="20"/>
                <w:szCs w:val="20"/>
                <w:color w:val="auto"/>
              </w:rPr>
            </w:pPr>
            <w:r>
              <w:rPr>
                <w:rFonts w:ascii="Arial" w:cs="Arial" w:eastAsia="Arial" w:hAnsi="Arial"/>
                <w:sz w:val="18"/>
                <w:szCs w:val="18"/>
                <w:b w:val="1"/>
                <w:bCs w:val="1"/>
                <w:color w:val="auto"/>
                <w:w w:val="83"/>
              </w:rPr>
              <w:t>Page</w:t>
            </w:r>
          </w:p>
        </w:tc>
      </w:tr>
      <w:tr>
        <w:trPr>
          <w:trHeight w:val="262"/>
        </w:trPr>
        <w:tc>
          <w:tcPr>
            <w:tcW w:w="64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84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Financial Statements</w:t>
            </w:r>
          </w:p>
        </w:tc>
        <w:tc>
          <w:tcPr>
            <w:tcW w:w="5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513"/>
        </w:trPr>
        <w:tc>
          <w:tcPr>
            <w:tcW w:w="640" w:type="dxa"/>
            <w:vAlign w:val="bottom"/>
          </w:tcPr>
          <w:p>
            <w:pPr>
              <w:spacing w:after="0"/>
              <w:rPr>
                <w:sz w:val="24"/>
                <w:szCs w:val="24"/>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Consolidated Balance Sheets as of June 30, 2012 (Unaudited) and December 31, 2011</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1</w:t>
            </w:r>
          </w:p>
        </w:tc>
      </w:tr>
      <w:tr>
        <w:trPr>
          <w:trHeight w:val="237"/>
        </w:trPr>
        <w:tc>
          <w:tcPr>
            <w:tcW w:w="640" w:type="dxa"/>
            <w:vAlign w:val="bottom"/>
          </w:tcPr>
          <w:p>
            <w:pPr>
              <w:spacing w:after="0"/>
              <w:rPr>
                <w:sz w:val="20"/>
                <w:szCs w:val="20"/>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w w:val="93"/>
              </w:rPr>
              <w:t>Unaudited Consolidated Statements of Operations for the three months and six months ended June 30,</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640" w:type="dxa"/>
            <w:vAlign w:val="bottom"/>
          </w:tcPr>
          <w:p>
            <w:pPr>
              <w:spacing w:after="0"/>
              <w:rPr>
                <w:sz w:val="19"/>
                <w:szCs w:val="19"/>
                <w:color w:val="auto"/>
              </w:rPr>
            </w:pPr>
          </w:p>
        </w:tc>
        <w:tc>
          <w:tcPr>
            <w:tcW w:w="7840" w:type="dxa"/>
            <w:vAlign w:val="bottom"/>
          </w:tcPr>
          <w:p>
            <w:pPr>
              <w:ind w:left="260"/>
              <w:spacing w:after="0"/>
              <w:rPr>
                <w:sz w:val="20"/>
                <w:szCs w:val="20"/>
                <w:color w:val="auto"/>
              </w:rPr>
            </w:pPr>
            <w:r>
              <w:rPr>
                <w:rFonts w:ascii="Arial" w:cs="Arial" w:eastAsia="Arial" w:hAnsi="Arial"/>
                <w:sz w:val="18"/>
                <w:szCs w:val="18"/>
                <w:color w:val="auto"/>
              </w:rPr>
              <w:t>2012 and 2011</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2</w:t>
            </w:r>
          </w:p>
        </w:tc>
      </w:tr>
      <w:tr>
        <w:trPr>
          <w:trHeight w:val="237"/>
        </w:trPr>
        <w:tc>
          <w:tcPr>
            <w:tcW w:w="640" w:type="dxa"/>
            <w:vAlign w:val="bottom"/>
          </w:tcPr>
          <w:p>
            <w:pPr>
              <w:spacing w:after="0"/>
              <w:rPr>
                <w:sz w:val="20"/>
                <w:szCs w:val="20"/>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w w:val="95"/>
              </w:rPr>
              <w:t>Unaudited Consolidated Statements of Comprehensive Earnings for the three months and six months</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640" w:type="dxa"/>
            <w:vAlign w:val="bottom"/>
          </w:tcPr>
          <w:p>
            <w:pPr>
              <w:spacing w:after="0"/>
              <w:rPr>
                <w:sz w:val="19"/>
                <w:szCs w:val="19"/>
                <w:color w:val="auto"/>
              </w:rPr>
            </w:pPr>
          </w:p>
        </w:tc>
        <w:tc>
          <w:tcPr>
            <w:tcW w:w="7840" w:type="dxa"/>
            <w:vAlign w:val="bottom"/>
          </w:tcPr>
          <w:p>
            <w:pPr>
              <w:ind w:left="260"/>
              <w:spacing w:after="0"/>
              <w:rPr>
                <w:sz w:val="20"/>
                <w:szCs w:val="20"/>
                <w:color w:val="auto"/>
              </w:rPr>
            </w:pPr>
            <w:r>
              <w:rPr>
                <w:rFonts w:ascii="Arial" w:cs="Arial" w:eastAsia="Arial" w:hAnsi="Arial"/>
                <w:sz w:val="18"/>
                <w:szCs w:val="18"/>
                <w:color w:val="auto"/>
              </w:rPr>
              <w:t>ended June 30, 2012 and 2011</w:t>
            </w:r>
          </w:p>
        </w:tc>
        <w:tc>
          <w:tcPr>
            <w:tcW w:w="90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3</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30" w:lineRule="exact"/>
        <w:rPr>
          <w:sz w:val="20"/>
          <w:szCs w:val="20"/>
          <w:color w:val="auto"/>
        </w:rPr>
      </w:pPr>
    </w:p>
    <w:tbl>
      <w:tblPr>
        <w:tblLayout w:type="fixed"/>
        <w:tblInd w:w="960" w:type="dxa"/>
        <w:tblCellMar>
          <w:top w:w="0" w:type="dxa"/>
          <w:left w:w="0" w:type="dxa"/>
          <w:bottom w:w="0" w:type="dxa"/>
          <w:right w:w="0" w:type="dxa"/>
        </w:tblCellMar>
      </w:tblPr>
      <w:tr>
        <w:trPr>
          <w:trHeight w:val="224"/>
        </w:trPr>
        <w:tc>
          <w:tcPr>
            <w:tcW w:w="720" w:type="dxa"/>
            <w:vAlign w:val="bottom"/>
          </w:tcPr>
          <w:p>
            <w:pPr>
              <w:spacing w:after="0"/>
              <w:rPr>
                <w:sz w:val="19"/>
                <w:szCs w:val="19"/>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w w:val="96"/>
              </w:rPr>
              <w:t>Unaudited Consolidated Statement of Stockholders' Equity for the six months ended June 30, 2012</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99"/>
              </w:rPr>
              <w:t>4</w:t>
            </w:r>
          </w:p>
        </w:tc>
      </w:tr>
      <w:tr>
        <w:trPr>
          <w:trHeight w:val="297"/>
        </w:trPr>
        <w:tc>
          <w:tcPr>
            <w:tcW w:w="720" w:type="dxa"/>
            <w:vAlign w:val="bottom"/>
          </w:tcPr>
          <w:p>
            <w:pPr>
              <w:spacing w:after="0"/>
              <w:rPr>
                <w:sz w:val="24"/>
                <w:szCs w:val="24"/>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w w:val="93"/>
              </w:rPr>
              <w:t>Unaudited Consolidated Statements of Cash Flows for the six months ended June 30, 2012 and 2011</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99"/>
              </w:rPr>
              <w:t>5</w:t>
            </w:r>
          </w:p>
        </w:tc>
      </w:tr>
      <w:tr>
        <w:trPr>
          <w:trHeight w:val="243"/>
        </w:trPr>
        <w:tc>
          <w:tcPr>
            <w:tcW w:w="720" w:type="dxa"/>
            <w:vAlign w:val="bottom"/>
          </w:tcPr>
          <w:p>
            <w:pPr>
              <w:spacing w:after="0"/>
              <w:rPr>
                <w:sz w:val="21"/>
                <w:szCs w:val="21"/>
                <w:color w:val="auto"/>
              </w:rPr>
            </w:pPr>
          </w:p>
        </w:tc>
        <w:tc>
          <w:tcPr>
            <w:tcW w:w="766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91"/>
              </w:rPr>
              <w:t>6 - 17</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w w:val="99"/>
              </w:rPr>
              <w:t>Management's Discussion and Analysis of Financial Condition and Results of Operations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18 - 25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6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106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6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26</w:t>
            </w:r>
          </w:p>
        </w:tc>
      </w:tr>
      <w:tr>
        <w:trPr>
          <w:trHeight w:val="513"/>
        </w:trPr>
        <w:tc>
          <w:tcPr>
            <w:tcW w:w="8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27</w:t>
            </w:r>
          </w:p>
        </w:tc>
      </w:tr>
      <w:tr>
        <w:trPr>
          <w:trHeight w:val="243"/>
        </w:trPr>
        <w:tc>
          <w:tcPr>
            <w:tcW w:w="8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1.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June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2011</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$11,699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$13,957</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$147 and $195,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9,270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6,189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4,449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3,896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251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302</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26,141</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24,797</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3,772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3,585</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567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514</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4,339</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4,099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(3,109)</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(2,965)</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1,230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1,134</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1,638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2,028</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2,407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942</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195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180</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$33,767</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$ 2,117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$ 1,031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1,418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493</w:t>
            </w:r>
          </w:p>
        </w:tc>
        <w:tc>
          <w:tcPr>
            <w:tcW w:w="100" w:type="dxa"/>
            <w:vAlign w:val="bottom"/>
          </w:tcPr>
          <w:p>
            <w:pPr>
              <w:spacing w:after="0"/>
              <w:rPr>
                <w:sz w:val="17"/>
                <w:szCs w:val="17"/>
                <w:color w:val="auto"/>
              </w:rPr>
            </w:pPr>
          </w:p>
        </w:tc>
      </w:tr>
    </w:tbl>
    <w:p>
      <w:pPr>
        <w:sectPr>
          <w:pgSz w:w="11900" w:h="16868" w:orient="portrait"/>
          <w:cols w:equalWidth="0" w:num="1">
            <w:col w:w="10400"/>
          </w:cols>
          <w:pgMar w:left="240" w:top="75" w:right="125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Accrued rent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461</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451</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532</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425</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709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436</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6,183</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5,038</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10 and 12)</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10,463,255 shares issued</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26,040</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26,035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605</w:t>
            </w:r>
          </w:p>
        </w:tc>
        <w:tc>
          <w:tcPr>
            <w:tcW w:w="260" w:type="dxa"/>
            <w:vAlign w:val="bottom"/>
          </w:tcPr>
          <w:p>
            <w:pPr>
              <w:spacing w:after="0"/>
              <w:rPr>
                <w:sz w:val="17"/>
                <w:szCs w:val="17"/>
                <w:color w:val="auto"/>
              </w:rPr>
            </w:pP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(686)</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1,175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1,217</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55,201 and 76,328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(341)</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(472)</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27,584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26,199</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$33,767</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OPERATIONS</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and per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64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2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480" w:type="dxa"/>
            <w:vAlign w:val="bottom"/>
          </w:tcPr>
          <w:p>
            <w:pPr>
              <w:spacing w:after="0"/>
              <w:rPr>
                <w:sz w:val="17"/>
                <w:szCs w:val="17"/>
                <w:color w:val="auto"/>
              </w:rPr>
            </w:pPr>
          </w:p>
        </w:tc>
        <w:tc>
          <w:tcPr>
            <w:tcW w:w="2640" w:type="dxa"/>
            <w:vAlign w:val="bottom"/>
            <w:gridSpan w:val="3"/>
          </w:tcPr>
          <w:p>
            <w:pPr>
              <w:jc w:val="right"/>
              <w:ind w:right="712"/>
              <w:spacing w:after="0" w:line="203" w:lineRule="exact"/>
              <w:rPr>
                <w:sz w:val="20"/>
                <w:szCs w:val="20"/>
                <w:color w:val="auto"/>
              </w:rPr>
            </w:pPr>
            <w:r>
              <w:rPr>
                <w:rFonts w:ascii="Courier New" w:cs="Courier New" w:eastAsia="Courier New" w:hAnsi="Courier New"/>
                <w:sz w:val="18"/>
                <w:szCs w:val="18"/>
                <w:color w:val="auto"/>
              </w:rPr>
              <w:t>June 30,</w:t>
            </w:r>
          </w:p>
        </w:tc>
        <w:tc>
          <w:tcPr>
            <w:tcW w:w="2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480" w:type="dxa"/>
            <w:vAlign w:val="bottom"/>
          </w:tcPr>
          <w:p>
            <w:pPr>
              <w:spacing w:after="0"/>
              <w:rPr>
                <w:sz w:val="17"/>
                <w:szCs w:val="17"/>
                <w:color w:val="auto"/>
              </w:rPr>
            </w:pPr>
          </w:p>
        </w:tc>
        <w:tc>
          <w:tcPr>
            <w:tcW w:w="26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2012</w:t>
            </w:r>
          </w:p>
        </w:tc>
        <w:tc>
          <w:tcPr>
            <w:tcW w:w="2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$13,576</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$24,307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$25,504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7,382</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13,517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13,613</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6,194</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6,798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10,790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11,891</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1,555</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2,961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2,972</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1,635</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1,665</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1,666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3,656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4,075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8,880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7,907</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1,910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3,984</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 tax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2,733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$ 1,334</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$ 2,655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$ 1,291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$ 3,912</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c>
          <w:tcPr>
            <w:tcW w:w="22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$0.26</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$0.39</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10,273,812</w:t>
            </w:r>
          </w:p>
        </w:tc>
        <w:tc>
          <w:tcPr>
            <w:tcW w:w="3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10,146,613 10,239,463 10,107,398</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c>
          <w:tcPr>
            <w:tcW w:w="22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$0.26</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$0.38</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10,359,657</w:t>
            </w:r>
          </w:p>
        </w:tc>
        <w:tc>
          <w:tcPr>
            <w:tcW w:w="3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10,296,902 10,342,014 10,281,857</w:t>
            </w:r>
          </w:p>
        </w:tc>
      </w:tr>
    </w:tbl>
    <w:p>
      <w:pPr>
        <w:sectPr>
          <w:pgSz w:w="11900" w:h="16838" w:orient="portrait"/>
          <w:cols w:equalWidth="0" w:num="1">
            <w:col w:w="10219"/>
          </w:cols>
          <w:pgMar w:left="240" w:top="136" w:right="1440" w:bottom="294" w:gutter="0" w:footer="0" w:header="0"/>
        </w:sectPr>
      </w:pPr>
    </w:p>
    <w:bookmarkStart w:id="3" w:name="page4"/>
    <w:bookmarkEnd w:id="3"/>
    <w:p>
      <w:pPr>
        <w:spacing w:after="0" w:line="6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CONSOLIDATED STATEMENTS OF COMPREHENSIVE EARNINGS</w:t>
      </w:r>
    </w:p>
    <w:p>
      <w:pPr>
        <w:jc w:val="center"/>
        <w:ind w:right="-1200"/>
        <w:spacing w:after="0" w:line="232" w:lineRule="auto"/>
        <w:rPr>
          <w:sz w:val="20"/>
          <w:szCs w:val="20"/>
          <w:color w:val="auto"/>
        </w:rPr>
      </w:pPr>
      <w:r>
        <w:rPr>
          <w:rFonts w:ascii="Arial" w:cs="Arial" w:eastAsia="Arial" w:hAnsi="Arial"/>
          <w:sz w:val="22"/>
          <w:szCs w:val="22"/>
          <w:color w:val="auto"/>
        </w:rPr>
        <w:t>(In thousands)</w:t>
      </w:r>
    </w:p>
    <w:p>
      <w:pPr>
        <w:jc w:val="center"/>
        <w:ind w:right="-1200"/>
        <w:spacing w:after="0"/>
        <w:rPr>
          <w:sz w:val="20"/>
          <w:szCs w:val="20"/>
          <w:color w:val="auto"/>
        </w:rPr>
      </w:pPr>
      <w:r>
        <w:rPr>
          <w:rFonts w:ascii="Arial" w:cs="Arial" w:eastAsia="Arial" w:hAnsi="Arial"/>
          <w:sz w:val="22"/>
          <w:szCs w:val="22"/>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1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320" w:type="dxa"/>
            <w:vAlign w:val="bottom"/>
          </w:tcPr>
          <w:p>
            <w:pPr>
              <w:spacing w:after="0"/>
              <w:rPr>
                <w:sz w:val="17"/>
                <w:szCs w:val="17"/>
                <w:color w:val="auto"/>
              </w:rPr>
            </w:pPr>
          </w:p>
        </w:tc>
        <w:tc>
          <w:tcPr>
            <w:tcW w:w="2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2012</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2011</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2012</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$ 1,334</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$ 2,655</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$ 1,291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$ 3,912</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(89)</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87</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$ 1,245</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$ 2,680</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$ 1,249</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$ 3,999</w:t>
            </w:r>
          </w:p>
        </w:tc>
      </w:tr>
      <w:tr>
        <w:trPr>
          <w:trHeight w:val="203"/>
        </w:trPr>
        <w:tc>
          <w:tcPr>
            <w:tcW w:w="4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36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 OF STOCKHOLDERS' EQUITY</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Retained</w:t>
            </w:r>
          </w:p>
        </w:tc>
        <w:tc>
          <w:tcPr>
            <w:tcW w:w="10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Common</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Earnings</w:t>
            </w:r>
          </w:p>
        </w:tc>
        <w:tc>
          <w:tcPr>
            <w:tcW w:w="1040" w:type="dxa"/>
            <w:vAlign w:val="bottom"/>
          </w:tcPr>
          <w:p>
            <w:pPr>
              <w:ind w:left="200"/>
              <w:spacing w:after="0"/>
              <w:rPr>
                <w:sz w:val="20"/>
                <w:szCs w:val="20"/>
                <w:color w:val="auto"/>
              </w:rPr>
            </w:pPr>
            <w:r>
              <w:rPr>
                <w:rFonts w:ascii="Courier New" w:cs="Courier New" w:eastAsia="Courier New" w:hAnsi="Courier New"/>
                <w:sz w:val="12"/>
                <w:szCs w:val="12"/>
                <w:color w:val="auto"/>
              </w:rPr>
              <w:t>Other</w:t>
            </w:r>
          </w:p>
        </w:tc>
        <w:tc>
          <w:tcPr>
            <w:tcW w:w="72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8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362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(Accumulated Comprehensive Treasury Stockholders'</w:t>
            </w:r>
          </w:p>
        </w:tc>
      </w:tr>
      <w:tr>
        <w:trPr>
          <w:trHeight w:val="135"/>
        </w:trPr>
        <w:tc>
          <w:tcPr>
            <w:tcW w:w="2080" w:type="dxa"/>
            <w:vAlign w:val="bottom"/>
          </w:tcPr>
          <w:p>
            <w:pPr>
              <w:spacing w:after="0"/>
              <w:rPr>
                <w:sz w:val="11"/>
                <w:szCs w:val="11"/>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Deficit)</w:t>
            </w:r>
          </w:p>
        </w:tc>
        <w:tc>
          <w:tcPr>
            <w:tcW w:w="1040" w:type="dxa"/>
            <w:vAlign w:val="bottom"/>
          </w:tcPr>
          <w:p>
            <w:pPr>
              <w:ind w:left="200"/>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Stock</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44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January 1, 2012</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10,463,255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$26,035</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(686)</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$1,217</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$(472)</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$26,199</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1,291</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1,291</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(42)</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(42)</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7"/>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61</w:t>
            </w:r>
          </w:p>
        </w:tc>
        <w:tc>
          <w:tcPr>
            <w:tcW w:w="3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61</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Issuance of 21,127 shares to</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satisfy profit sharing</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liability</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(56)</w:t>
            </w:r>
          </w:p>
        </w:tc>
        <w:tc>
          <w:tcPr>
            <w:tcW w:w="3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131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75</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June 30, 2012</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10,463,255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$26,040</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605</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$1,175</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$(341)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$27,584</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600"/>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600"/>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2660" w:type="dxa"/>
            <w:vAlign w:val="bottom"/>
            <w:gridSpan w:val="2"/>
          </w:tcPr>
          <w:p>
            <w:pPr>
              <w:jc w:val="center"/>
              <w:ind w:right="1419"/>
              <w:spacing w:after="0"/>
              <w:rPr>
                <w:sz w:val="20"/>
                <w:szCs w:val="20"/>
                <w:color w:val="auto"/>
              </w:rPr>
            </w:pPr>
            <w:r>
              <w:rPr>
                <w:rFonts w:ascii="Arial" w:cs="Arial" w:eastAsia="Arial" w:hAnsi="Arial"/>
                <w:sz w:val="18"/>
                <w:szCs w:val="18"/>
                <w:color w:val="auto"/>
                <w:w w:val="91"/>
              </w:rPr>
              <w:t>(Unaudited)</w:t>
            </w:r>
          </w:p>
        </w:tc>
        <w:tc>
          <w:tcPr>
            <w:tcW w:w="0" w:type="dxa"/>
            <w:vAlign w:val="bottom"/>
          </w:tcPr>
          <w:p>
            <w:pPr>
              <w:spacing w:after="0"/>
              <w:rPr>
                <w:sz w:val="1"/>
                <w:szCs w:val="1"/>
                <w:color w:val="auto"/>
              </w:rPr>
            </w:pPr>
          </w:p>
        </w:tc>
      </w:tr>
      <w:tr>
        <w:trPr>
          <w:trHeight w:val="306"/>
        </w:trPr>
        <w:tc>
          <w:tcPr>
            <w:tcW w:w="5120" w:type="dxa"/>
            <w:vAlign w:val="bottom"/>
          </w:tcPr>
          <w:p>
            <w:pPr>
              <w:spacing w:after="0"/>
              <w:rPr>
                <w:sz w:val="24"/>
                <w:szCs w:val="24"/>
                <w:color w:val="auto"/>
              </w:rPr>
            </w:pPr>
          </w:p>
        </w:tc>
        <w:tc>
          <w:tcPr>
            <w:tcW w:w="2660" w:type="dxa"/>
            <w:vAlign w:val="bottom"/>
            <w:gridSpan w:val="2"/>
          </w:tcPr>
          <w:p>
            <w:pPr>
              <w:jc w:val="right"/>
              <w:ind w:right="1299"/>
              <w:spacing w:after="0"/>
              <w:rPr>
                <w:sz w:val="20"/>
                <w:szCs w:val="20"/>
                <w:color w:val="auto"/>
              </w:rPr>
            </w:pPr>
            <w:r>
              <w:rPr>
                <w:rFonts w:ascii="Courier New" w:cs="Courier New" w:eastAsia="Courier New" w:hAnsi="Courier New"/>
                <w:sz w:val="12"/>
                <w:szCs w:val="12"/>
                <w:color w:val="auto"/>
              </w:rPr>
              <w:t>Six Months Ended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579"/>
              <w:spacing w:after="0"/>
              <w:rPr>
                <w:sz w:val="20"/>
                <w:szCs w:val="20"/>
                <w:color w:val="auto"/>
              </w:rPr>
            </w:pPr>
            <w:r>
              <w:rPr>
                <w:rFonts w:ascii="Courier New" w:cs="Courier New" w:eastAsia="Courier New" w:hAnsi="Courier New"/>
                <w:sz w:val="12"/>
                <w:szCs w:val="12"/>
                <w:color w:val="auto"/>
              </w:rPr>
              <w:t>June 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660" w:type="dxa"/>
            <w:vAlign w:val="bottom"/>
            <w:gridSpan w:val="2"/>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tcPr>
          <w:p>
            <w:pPr>
              <w:jc w:val="right"/>
              <w:ind w:right="195"/>
              <w:spacing w:after="0"/>
              <w:rPr>
                <w:sz w:val="20"/>
                <w:szCs w:val="20"/>
                <w:color w:val="auto"/>
              </w:rPr>
            </w:pPr>
            <w:r>
              <w:rPr>
                <w:rFonts w:ascii="Courier New" w:cs="Courier New" w:eastAsia="Courier New" w:hAnsi="Courier New"/>
                <w:sz w:val="12"/>
                <w:szCs w:val="12"/>
                <w:color w:val="auto"/>
              </w:rPr>
              <w:t>2012</w:t>
            </w:r>
          </w:p>
        </w:tc>
        <w:tc>
          <w:tcPr>
            <w:tcW w:w="1900" w:type="dxa"/>
            <w:vAlign w:val="bottom"/>
          </w:tcPr>
          <w:p>
            <w:pPr>
              <w:jc w:val="right"/>
              <w:ind w:right="1299"/>
              <w:spacing w:after="0"/>
              <w:rPr>
                <w:sz w:val="20"/>
                <w:szCs w:val="20"/>
                <w:color w:val="auto"/>
              </w:rPr>
            </w:pPr>
            <w:r>
              <w:rPr>
                <w:rFonts w:ascii="Courier New" w:cs="Courier New" w:eastAsia="Courier New" w:hAnsi="Courier New"/>
                <w:sz w:val="12"/>
                <w:szCs w:val="12"/>
                <w:color w:val="auto"/>
              </w:rPr>
              <w:t>2011</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$ 1,291</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$ 3,912</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220"/>
              <w:spacing w:after="0"/>
              <w:rPr>
                <w:sz w:val="20"/>
                <w:szCs w:val="20"/>
                <w:color w:val="auto"/>
              </w:rPr>
            </w:pPr>
            <w:r>
              <w:rPr>
                <w:rFonts w:ascii="Courier New" w:cs="Courier New" w:eastAsia="Courier New" w:hAnsi="Courier New"/>
                <w:sz w:val="12"/>
                <w:szCs w:val="12"/>
                <w:color w:val="auto"/>
              </w:rPr>
              <w:t>by operating activities:</w:t>
            </w:r>
          </w:p>
        </w:tc>
        <w:tc>
          <w:tcPr>
            <w:tcW w:w="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471</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209</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w:t>
            </w:r>
          </w:p>
        </w:tc>
        <w:tc>
          <w:tcPr>
            <w:tcW w:w="760" w:type="dxa"/>
            <w:vAlign w:val="bottom"/>
          </w:tcPr>
          <w:p>
            <w:pPr>
              <w:jc w:val="right"/>
              <w:ind w:right="55"/>
              <w:spacing w:after="0"/>
              <w:rPr>
                <w:sz w:val="20"/>
                <w:szCs w:val="20"/>
                <w:color w:val="auto"/>
              </w:rPr>
            </w:pPr>
            <w:r>
              <w:rPr>
                <w:rFonts w:ascii="Courier New" w:cs="Courier New" w:eastAsia="Courier New" w:hAnsi="Courier New"/>
                <w:sz w:val="12"/>
                <w:szCs w:val="12"/>
                <w:color w:val="auto"/>
              </w:rPr>
              <w:t>(1)</w:t>
            </w:r>
          </w:p>
        </w:tc>
        <w:tc>
          <w:tcPr>
            <w:tcW w:w="1900" w:type="dxa"/>
            <w:vAlign w:val="bottom"/>
          </w:tcPr>
          <w:p>
            <w:pPr>
              <w:jc w:val="right"/>
              <w:ind w:right="1139"/>
              <w:spacing w:after="0"/>
              <w:rPr>
                <w:sz w:val="20"/>
                <w:szCs w:val="20"/>
                <w:color w:val="auto"/>
              </w:rPr>
            </w:pPr>
            <w:r>
              <w:rPr>
                <w:rFonts w:ascii="Courier New" w:cs="Courier New" w:eastAsia="Courier New" w:hAnsi="Courier New"/>
                <w:sz w:val="12"/>
                <w:szCs w:val="12"/>
                <w:color w:val="auto"/>
              </w:rPr>
              <w:t>(11)</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61</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87</w:t>
            </w:r>
          </w:p>
        </w:tc>
        <w:tc>
          <w:tcPr>
            <w:tcW w:w="0" w:type="dxa"/>
            <w:vAlign w:val="bottom"/>
          </w:tcPr>
          <w:p>
            <w:pPr>
              <w:spacing w:after="0"/>
              <w:rPr>
                <w:sz w:val="1"/>
                <w:szCs w:val="1"/>
                <w:color w:val="auto"/>
              </w:rPr>
            </w:pPr>
          </w:p>
        </w:tc>
      </w:tr>
      <w:tr>
        <w:trPr>
          <w:trHeight w:val="135"/>
        </w:trPr>
        <w:tc>
          <w:tcPr>
            <w:tcW w:w="5880" w:type="dxa"/>
            <w:vAlign w:val="bottom"/>
            <w:gridSpan w:val="2"/>
          </w:tcPr>
          <w:p>
            <w:pPr>
              <w:ind w:left="300"/>
              <w:spacing w:after="0"/>
              <w:rPr>
                <w:sz w:val="20"/>
                <w:szCs w:val="20"/>
                <w:color w:val="auto"/>
              </w:rPr>
            </w:pPr>
            <w:r>
              <w:rPr>
                <w:rFonts w:ascii="Courier New" w:cs="Courier New" w:eastAsia="Courier New" w:hAnsi="Courier New"/>
                <w:sz w:val="12"/>
                <w:szCs w:val="12"/>
                <w:color w:val="auto"/>
                <w:w w:val="96"/>
              </w:rPr>
              <w:t>Profit sharing expense funded through the issuance of treasury stock75</w:t>
            </w:r>
          </w:p>
        </w:tc>
        <w:tc>
          <w:tcPr>
            <w:tcW w:w="1900" w:type="dxa"/>
            <w:vAlign w:val="bottom"/>
          </w:tcPr>
          <w:p>
            <w:pPr>
              <w:jc w:val="right"/>
              <w:ind w:right="1219"/>
              <w:spacing w:after="0"/>
              <w:rPr>
                <w:sz w:val="20"/>
                <w:szCs w:val="20"/>
                <w:color w:val="auto"/>
              </w:rPr>
            </w:pPr>
            <w:r>
              <w:rPr>
                <w:rFonts w:ascii="Courier New" w:cs="Courier New" w:eastAsia="Courier New" w:hAnsi="Courier New"/>
                <w:sz w:val="12"/>
                <w:szCs w:val="12"/>
                <w:color w:val="auto"/>
              </w:rPr>
              <w:t>75</w:t>
            </w:r>
          </w:p>
        </w:tc>
        <w:tc>
          <w:tcPr>
            <w:tcW w:w="0" w:type="dxa"/>
            <w:vAlign w:val="bottom"/>
          </w:tcPr>
          <w:p>
            <w:pPr>
              <w:spacing w:after="0"/>
              <w:rPr>
                <w:sz w:val="1"/>
                <w:szCs w:val="1"/>
                <w:color w:val="auto"/>
              </w:rPr>
            </w:pPr>
          </w:p>
        </w:tc>
      </w:tr>
      <w:tr>
        <w:trPr>
          <w:trHeight w:val="137"/>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(Gain) loss on sale of property and equipment</w:t>
            </w:r>
          </w:p>
        </w:tc>
        <w:tc>
          <w:tcPr>
            <w:tcW w:w="760" w:type="dxa"/>
            <w:vAlign w:val="bottom"/>
          </w:tcPr>
          <w:p>
            <w:pPr>
              <w:jc w:val="right"/>
              <w:ind w:right="115"/>
              <w:spacing w:after="0"/>
              <w:rPr>
                <w:sz w:val="20"/>
                <w:szCs w:val="20"/>
                <w:color w:val="auto"/>
              </w:rPr>
            </w:pPr>
            <w:r>
              <w:rPr>
                <w:rFonts w:ascii="Courier New" w:cs="Courier New" w:eastAsia="Courier New" w:hAnsi="Courier New"/>
                <w:sz w:val="12"/>
                <w:szCs w:val="12"/>
                <w:color w:val="auto"/>
              </w:rPr>
              <w:t>10</w:t>
            </w:r>
          </w:p>
        </w:tc>
        <w:tc>
          <w:tcPr>
            <w:tcW w:w="1900" w:type="dxa"/>
            <w:vAlign w:val="bottom"/>
          </w:tcPr>
          <w:p>
            <w:pPr>
              <w:jc w:val="right"/>
              <w:ind w:right="1139"/>
              <w:spacing w:after="0"/>
              <w:rPr>
                <w:sz w:val="20"/>
                <w:szCs w:val="20"/>
                <w:color w:val="auto"/>
              </w:rPr>
            </w:pPr>
            <w:r>
              <w:rPr>
                <w:rFonts w:ascii="Courier New" w:cs="Courier New" w:eastAsia="Courier New" w:hAnsi="Courier New"/>
                <w:sz w:val="12"/>
                <w:szCs w:val="12"/>
                <w:color w:val="auto"/>
              </w:rPr>
              <w:t>(40)</w:t>
            </w:r>
          </w:p>
        </w:tc>
        <w:tc>
          <w:tcPr>
            <w:tcW w:w="0" w:type="dxa"/>
            <w:vAlign w:val="bottom"/>
          </w:tcPr>
          <w:p>
            <w:pPr>
              <w:spacing w:after="0"/>
              <w:rPr>
                <w:sz w:val="1"/>
                <w:szCs w:val="1"/>
                <w:color w:val="auto"/>
              </w:rPr>
            </w:pPr>
          </w:p>
        </w:tc>
      </w:tr>
    </w:tbl>
    <w:p>
      <w:pPr>
        <w:sectPr>
          <w:pgSz w:w="11900" w:h="16906" w:orient="portrait"/>
          <w:cols w:equalWidth="0" w:num="1">
            <w:col w:w="10219"/>
          </w:cols>
          <w:pgMar w:left="240" w:top="13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107</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372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(1,921)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(2,012)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316</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(761)</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1,010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432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(373)</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(295)</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160</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242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(66)</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Customer deposits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294</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158</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(112)</w:t>
            </w:r>
          </w:p>
        </w:tc>
        <w:tc>
          <w:tcPr>
            <w:tcW w:w="0" w:type="dxa"/>
            <w:vAlign w:val="bottom"/>
          </w:tcPr>
          <w:p>
            <w:pPr>
              <w:spacing w:after="0"/>
              <w:rPr>
                <w:sz w:val="1"/>
                <w:szCs w:val="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Deferred rent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(59)</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1,707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2,516</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Acquisition of business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(3,802)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(129)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(640)</w:t>
            </w: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(3,931)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(600)</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38</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all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(2,258)</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1,984</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13,957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6,895</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$11,699</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$ 8,879</w:t>
            </w: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45</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78</w:t>
            </w:r>
          </w:p>
        </w:tc>
        <w:tc>
          <w:tcPr>
            <w:tcW w:w="0" w:type="dxa"/>
            <w:vAlign w:val="bottom"/>
          </w:tcPr>
          <w:p>
            <w:pPr>
              <w:spacing w:after="0"/>
              <w:rPr>
                <w:sz w:val="1"/>
                <w:szCs w:val="1"/>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$ 4,026</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(274)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Goodwill resulting from acquisition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50</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Net cash paid for acquisition</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$ 3,802</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vMerge w:val="restart"/>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20"/>
                <w:szCs w:val="20"/>
                <w:color w:val="auto"/>
              </w:rPr>
            </w:pPr>
            <w:r>
              <w:rPr>
                <w:rFonts w:ascii="Courier New" w:cs="Courier New" w:eastAsia="Courier New" w:hAnsi="Courier New"/>
                <w:sz w:val="12"/>
                <w:szCs w:val="12"/>
                <w:color w:val="auto"/>
              </w:rPr>
              <w:t>Forfeitures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industries outside the ATE industry, such as the automotive, consumer electronics, defense/aerospace and telecommunications industries.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 On January 16, 2012, Temptronic Corporation ("Temptronic"), a wholly-owned subsidiary of inTEST Corporation, acquired substantially all of the assets and certain liabilities of Thermonics, Inc. ("Thermonics"), a division of Test Enterprises, Inc. The acquisition of the Thermonics business broadens the product line of inTEST's Thermal Products segment. This acquisition is discussed further in Note 3.</w:t>
      </w:r>
    </w:p>
    <w:p>
      <w:pPr>
        <w:spacing w:after="0" w:line="198"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200" w:lineRule="exact"/>
        <w:rPr>
          <w:sz w:val="20"/>
          <w:szCs w:val="20"/>
          <w:color w:val="auto"/>
        </w:rPr>
      </w:pPr>
    </w:p>
    <w:p>
      <w:pPr>
        <w:spacing w:after="0" w:line="318"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335" w:lineRule="auto"/>
        <w:rPr>
          <w:sz w:val="20"/>
          <w:szCs w:val="20"/>
          <w:color w:val="auto"/>
        </w:rPr>
      </w:pPr>
      <w:r>
        <w:rPr>
          <w:rFonts w:ascii="Arial" w:cs="Arial" w:eastAsia="Arial" w:hAnsi="Arial"/>
          <w:sz w:val="15"/>
          <w:szCs w:val="15"/>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w:t>
      </w:r>
    </w:p>
    <w:p>
      <w:pPr>
        <w:sectPr>
          <w:pgSz w:w="11900" w:h="16838" w:orient="portrait"/>
          <w:cols w:equalWidth="0" w:num="1">
            <w:col w:w="11400"/>
          </w:cols>
          <w:pgMar w:left="240" w:top="132" w:right="259" w:bottom="0" w:gutter="0" w:footer="0" w:header="0"/>
        </w:sectPr>
      </w:pPr>
    </w:p>
    <w:bookmarkStart w:id="5" w:name="page6"/>
    <w:bookmarkEnd w:id="5"/>
    <w:p>
      <w:pPr>
        <w:ind w:left="532" w:right="120"/>
        <w:spacing w:after="0" w:line="306" w:lineRule="auto"/>
        <w:rPr>
          <w:sz w:val="20"/>
          <w:szCs w:val="20"/>
          <w:color w:val="auto"/>
        </w:rPr>
      </w:pPr>
      <w:r>
        <w:rPr>
          <w:rFonts w:ascii="Arial" w:cs="Arial" w:eastAsia="Arial" w:hAnsi="Arial"/>
          <w:sz w:val="16"/>
          <w:szCs w:val="16"/>
          <w:color w:val="auto"/>
        </w:rPr>
        <w:t>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61"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2011 filed with the Securities and Exchange Commission on March 30, 2012 (the "2011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2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$358 and $197 for the six months ended June 30, 2012 and 2011,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right="80"/>
        <w:spacing w:after="0" w:line="287"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In September 2011, the Financial Accounting Standards Board ("FASB") issued new guidance which provides an entity with the option to perform a qualitative assessment to determine whether it is more-likely-than-not that the fair value of a reporting unit is less than its carrying amount. If an entity determines this is the case, it is required to perform a two-step goodwill impairment test to identify potential goodwill impairment and measure the amount of goodwill impairment loss to be recognized. The two-step test is discussed below. If an entity determines that it is more-likely-than-not that the fair value of the reporting unit is greater than its carrying amounts, the two-step goodwill impairment test is not required. This new guidance was effective for fiscal years beginning after December 15, 2011. We adopted this guidance as of January 1, 2012. The adoption of this guidance did not have a material impact on our consolidated financial statements.</w:t>
      </w:r>
    </w:p>
    <w:p>
      <w:pPr>
        <w:spacing w:after="0" w:line="177"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32" w:right="160"/>
        <w:spacing w:after="0" w:line="335" w:lineRule="auto"/>
        <w:rPr>
          <w:sz w:val="20"/>
          <w:szCs w:val="20"/>
          <w:color w:val="auto"/>
        </w:rPr>
      </w:pPr>
      <w:r>
        <w:rPr>
          <w:rFonts w:ascii="Arial" w:cs="Arial" w:eastAsia="Arial" w:hAnsi="Arial"/>
          <w:sz w:val="15"/>
          <w:szCs w:val="15"/>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142" w:lineRule="exact"/>
        <w:rPr>
          <w:sz w:val="20"/>
          <w:szCs w:val="20"/>
          <w:color w:val="auto"/>
        </w:rPr>
      </w:pPr>
    </w:p>
    <w:p>
      <w:pPr>
        <w:ind w:left="532"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392"/>
          </w:cols>
          <w:pgMar w:left="248" w:top="131" w:right="25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11.</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quarter ended June 30,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collectability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right="100"/>
        <w:spacing w:after="0" w:line="288" w:lineRule="auto"/>
        <w:rPr>
          <w:sz w:val="20"/>
          <w:szCs w:val="20"/>
          <w:color w:val="auto"/>
        </w:rPr>
      </w:pPr>
      <w:r>
        <w:rPr>
          <w:rFonts w:ascii="Arial" w:cs="Arial" w:eastAsia="Arial" w:hAnsi="Arial"/>
          <w:sz w:val="16"/>
          <w:szCs w:val="16"/>
          <w:color w:val="auto"/>
        </w:rPr>
        <w:t>We recognize a liability for restructuring charges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6"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For the six months ended June 30, 2012 and 2011, we recorded income tax expense of $632 and $138, respectively.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second half of 2011, we reversed $3,110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ectPr>
          <w:pgSz w:w="11900" w:h="16838" w:orient="portrait"/>
          <w:cols w:equalWidth="0" w:num="1">
            <w:col w:w="11400"/>
          </w:cols>
          <w:pgMar w:left="240" w:top="131" w:right="259" w:bottom="0" w:gutter="0" w:footer="0" w:header="0"/>
        </w:sectPr>
      </w:pPr>
    </w:p>
    <w:bookmarkStart w:id="7" w:name="page8"/>
    <w:bookmarkEnd w:id="7"/>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97"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9"/>
          </w:tcPr>
          <w:p>
            <w:pPr>
              <w:ind w:left="20"/>
              <w:spacing w:after="0"/>
              <w:rPr>
                <w:sz w:val="20"/>
                <w:szCs w:val="20"/>
                <w:color w:val="auto"/>
              </w:rPr>
            </w:pPr>
            <w:r>
              <w:rPr>
                <w:rFonts w:ascii="Arial" w:cs="Arial" w:eastAsia="Arial" w:hAnsi="Arial"/>
                <w:sz w:val="14"/>
                <w:szCs w:val="14"/>
                <w:b w:val="1"/>
                <w:bCs w:val="1"/>
                <w:i w:val="1"/>
                <w:iCs w:val="1"/>
                <w:color w:val="auto"/>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9"/>
          </w:tcPr>
          <w:p>
            <w:pPr>
              <w:jc w:val="center"/>
              <w:ind w:right="30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5"/>
          </w:tcPr>
          <w:p>
            <w:pPr>
              <w:ind w:left="8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4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5"/>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40" w:type="dxa"/>
            <w:vAlign w:val="bottom"/>
            <w:gridSpan w:val="2"/>
          </w:tcPr>
          <w:p>
            <w:pPr>
              <w:spacing w:after="0"/>
              <w:rPr>
                <w:sz w:val="12"/>
                <w:szCs w:val="12"/>
                <w:color w:val="auto"/>
              </w:rPr>
            </w:pPr>
          </w:p>
        </w:tc>
      </w:tr>
      <w:tr>
        <w:trPr>
          <w:trHeight w:val="156"/>
        </w:trPr>
        <w:tc>
          <w:tcPr>
            <w:tcW w:w="4960" w:type="dxa"/>
            <w:vAlign w:val="bottom"/>
          </w:tcPr>
          <w:p>
            <w:pPr>
              <w:spacing w:after="0"/>
              <w:rPr>
                <w:sz w:val="13"/>
                <w:szCs w:val="13"/>
                <w:color w:val="auto"/>
              </w:rPr>
            </w:pPr>
          </w:p>
        </w:tc>
        <w:tc>
          <w:tcPr>
            <w:tcW w:w="760" w:type="dxa"/>
            <w:vAlign w:val="bottom"/>
            <w:gridSpan w:val="5"/>
          </w:tcPr>
          <w:p>
            <w:pPr>
              <w:ind w:left="500"/>
              <w:spacing w:after="0" w:line="155" w:lineRule="exact"/>
              <w:rPr>
                <w:sz w:val="20"/>
                <w:szCs w:val="20"/>
                <w:color w:val="auto"/>
              </w:rPr>
            </w:pPr>
            <w:r>
              <w:rPr>
                <w:rFonts w:ascii="Arial" w:cs="Arial" w:eastAsia="Arial" w:hAnsi="Arial"/>
                <w:sz w:val="14"/>
                <w:szCs w:val="14"/>
                <w:b w:val="1"/>
                <w:bCs w:val="1"/>
                <w:i w:val="1"/>
                <w:iCs w:val="1"/>
                <w:color w:val="auto"/>
                <w:w w:val="76"/>
              </w:rPr>
              <w:t>2012</w:t>
            </w:r>
          </w:p>
        </w:tc>
        <w:tc>
          <w:tcPr>
            <w:tcW w:w="340" w:type="dxa"/>
            <w:vAlign w:val="bottom"/>
          </w:tcPr>
          <w:p>
            <w:pPr>
              <w:spacing w:after="0"/>
              <w:rPr>
                <w:sz w:val="13"/>
                <w:szCs w:val="13"/>
                <w:color w:val="auto"/>
              </w:rPr>
            </w:pPr>
          </w:p>
        </w:tc>
        <w:tc>
          <w:tcPr>
            <w:tcW w:w="940" w:type="dxa"/>
            <w:vAlign w:val="bottom"/>
            <w:gridSpan w:val="6"/>
          </w:tcPr>
          <w:p>
            <w:pPr>
              <w:jc w:val="right"/>
              <w:ind w:right="34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940" w:type="dxa"/>
            <w:vAlign w:val="bottom"/>
            <w:gridSpan w:val="6"/>
          </w:tcPr>
          <w:p>
            <w:pPr>
              <w:jc w:val="right"/>
              <w:ind w:right="252"/>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940" w:type="dxa"/>
            <w:vAlign w:val="bottom"/>
            <w:gridSpan w:val="6"/>
          </w:tcPr>
          <w:p>
            <w:pPr>
              <w:jc w:val="right"/>
              <w:ind w:right="320"/>
              <w:spacing w:after="0" w:line="155" w:lineRule="exact"/>
              <w:rPr>
                <w:sz w:val="20"/>
                <w:szCs w:val="20"/>
                <w:color w:val="auto"/>
              </w:rPr>
            </w:pPr>
            <w:r>
              <w:rPr>
                <w:rFonts w:ascii="Arial" w:cs="Arial" w:eastAsia="Arial" w:hAnsi="Arial"/>
                <w:sz w:val="14"/>
                <w:szCs w:val="14"/>
                <w:b w:val="1"/>
                <w:bCs w:val="1"/>
                <w:i w:val="1"/>
                <w:iCs w:val="1"/>
                <w:color w:val="auto"/>
              </w:rPr>
              <w:t>2011</w:t>
            </w:r>
          </w:p>
        </w:tc>
      </w:tr>
      <w:tr>
        <w:trPr>
          <w:trHeight w:val="20"/>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49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10,273,812</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10,146,613</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10,239,463</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10,107,398</w:t>
            </w:r>
          </w:p>
        </w:tc>
      </w:tr>
      <w:tr>
        <w:trPr>
          <w:trHeight w:val="459"/>
        </w:trPr>
        <w:tc>
          <w:tcPr>
            <w:tcW w:w="49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1"/>
        </w:trPr>
        <w:tc>
          <w:tcPr>
            <w:tcW w:w="4960" w:type="dxa"/>
            <w:vAlign w:val="bottom"/>
          </w:tcPr>
          <w:p>
            <w:pPr>
              <w:ind w:left="220"/>
              <w:spacing w:after="0"/>
              <w:rPr>
                <w:sz w:val="20"/>
                <w:szCs w:val="20"/>
                <w:color w:val="auto"/>
              </w:rPr>
            </w:pPr>
            <w:r>
              <w:rPr>
                <w:rFonts w:ascii="Arial" w:cs="Arial" w:eastAsia="Arial" w:hAnsi="Arial"/>
                <w:sz w:val="18"/>
                <w:szCs w:val="18"/>
                <w:color w:val="auto"/>
                <w:w w:val="92"/>
              </w:rPr>
              <w:t>Employee stock options and unvested shares of restricted stock</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85,845</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150,289</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102,551</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174,459</w:t>
            </w:r>
          </w:p>
        </w:tc>
      </w:tr>
      <w:tr>
        <w:trPr>
          <w:trHeight w:val="471"/>
        </w:trPr>
        <w:tc>
          <w:tcPr>
            <w:tcW w:w="496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184"/>
        </w:trPr>
        <w:tc>
          <w:tcPr>
            <w:tcW w:w="496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110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10,359,657</w:t>
            </w:r>
          </w:p>
        </w:tc>
        <w:tc>
          <w:tcPr>
            <w:tcW w:w="94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10,296,902</w:t>
            </w:r>
          </w:p>
        </w:tc>
        <w:tc>
          <w:tcPr>
            <w:tcW w:w="94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10,342,014</w:t>
            </w:r>
          </w:p>
        </w:tc>
        <w:tc>
          <w:tcPr>
            <w:tcW w:w="94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10,281,857</w:t>
            </w:r>
          </w:p>
        </w:tc>
      </w:tr>
      <w:tr>
        <w:trPr>
          <w:trHeight w:val="931"/>
        </w:trPr>
        <w:tc>
          <w:tcPr>
            <w:tcW w:w="496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3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22"/>
        </w:trPr>
        <w:tc>
          <w:tcPr>
            <w:tcW w:w="496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31,962</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64,670</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38,811</w:t>
            </w:r>
          </w:p>
        </w:tc>
        <w:tc>
          <w:tcPr>
            <w:tcW w:w="940" w:type="dxa"/>
            <w:vAlign w:val="bottom"/>
            <w:gridSpan w:val="6"/>
          </w:tcPr>
          <w:p>
            <w:pPr>
              <w:jc w:val="right"/>
              <w:spacing w:after="0"/>
              <w:rPr>
                <w:sz w:val="20"/>
                <w:szCs w:val="20"/>
                <w:color w:val="auto"/>
              </w:rPr>
            </w:pPr>
            <w:r>
              <w:rPr>
                <w:rFonts w:ascii="Arial" w:cs="Arial" w:eastAsia="Arial" w:hAnsi="Arial"/>
                <w:sz w:val="18"/>
                <w:szCs w:val="18"/>
                <w:color w:val="auto"/>
              </w:rPr>
              <w:t>62,310</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On January 16, 2012, Temptronic acquired substantially all of the assets and certain liabilities of Thermonics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broadens the product line of inTEST's Thermal Products segment.</w:t>
      </w:r>
    </w:p>
    <w:p>
      <w:pPr>
        <w:spacing w:after="0" w:line="197" w:lineRule="exact"/>
        <w:rPr>
          <w:sz w:val="20"/>
          <w:szCs w:val="20"/>
          <w:color w:val="auto"/>
        </w:rPr>
      </w:pPr>
    </w:p>
    <w:p>
      <w:pPr>
        <w:ind w:left="540" w:right="240"/>
        <w:spacing w:after="0" w:line="294" w:lineRule="auto"/>
        <w:rPr>
          <w:sz w:val="20"/>
          <w:szCs w:val="20"/>
          <w:color w:val="auto"/>
        </w:rPr>
      </w:pPr>
      <w:r>
        <w:rPr>
          <w:rFonts w:ascii="Arial" w:cs="Arial" w:eastAsia="Arial" w:hAnsi="Arial"/>
          <w:sz w:val="16"/>
          <w:szCs w:val="16"/>
          <w:color w:val="auto"/>
        </w:rPr>
        <w:t>The purchase price for the assets was approximately $3,802 in cash, plus the assumption of specified liabilities, including trade payables and certain customer contract obligations. In connection with this acquisition, we also signed a separate one year lease for the facility occupied by Thermonics in Sunnyvale, California. This facility is owned by the seller. We ceased operations at this facility in February 2012 and relocated the Thermonics product line to our facility in Mansfield, Massachusetts where our Temptronic operations are located. We recorded a restructuring charge in the first quarter of 2012 of $359 related to this action. See Note 5 for further detail regarding this charge.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Total acquisition costs incurred to complete this transaction were $485. The portion of these costs that was incurred in 2011 was $148. Acquisition costs are expensed as incurred and included in general and administrative expense.</w:t>
      </w:r>
    </w:p>
    <w:p>
      <w:pPr>
        <w:spacing w:after="0" w:line="186"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Thermonics acquisition was accounted for as a purchase business combination and, accordingly, the results of Thermonics have been included in our consolidated results of operations from the date of acquisition. The allocation of the total purchase price of Thermonics net tangible and identifiable intangible assets was based on their estimated fair values as of the acquisition date. The tangible assets acquired include accounts receivable, inventory, and property and equipment. Liabilities assumed include trade payables, certain customer contract obligations and accrued payments under a non-compete/non-solicitation agreement with a former employee of Thermonics. Identifiable intangible assets acquired include customer relationships, customer backlog, the Thermonics trade name, patented technology, and a non-compete/non-solicitation agreement with a former employee of Thermonics. The excess of the purchase price over the identifiable intangible and net tangible assets in the amount of $50 was allocated to goodwill and is deductible for tax purposes. Goodwill is attributed to the synergies that are expected to result from the operations of the combined businesses. The determination of fair value reflects the assistance of third-party valuation specialists, as well as our own estimates and assumptions.</w:t>
      </w:r>
    </w:p>
    <w:p>
      <w:pPr>
        <w:spacing w:after="0" w:line="174"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96"/>
              </w:rPr>
              <w:t>The following represents the allocation of the purchase price:</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05"/>
        </w:trPr>
        <w:tc>
          <w:tcPr>
            <w:tcW w:w="4680" w:type="dxa"/>
            <w:vAlign w:val="bottom"/>
          </w:tcPr>
          <w:p>
            <w:pPr>
              <w:ind w:left="560"/>
              <w:spacing w:after="0"/>
              <w:rPr>
                <w:sz w:val="20"/>
                <w:szCs w:val="20"/>
                <w:color w:val="auto"/>
              </w:rPr>
            </w:pPr>
            <w:r>
              <w:rPr>
                <w:rFonts w:ascii="Arial" w:cs="Arial" w:eastAsia="Arial" w:hAnsi="Arial"/>
                <w:sz w:val="18"/>
                <w:szCs w:val="18"/>
                <w:color w:val="auto"/>
              </w:rPr>
              <w:t>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Identifable intangible assets</w:t>
            </w: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1,728</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Tangible assets acquired and liabilities assumed:</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Trade accounts receivable</w:t>
            </w: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1,161</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874</w:t>
            </w:r>
          </w:p>
        </w:tc>
      </w:tr>
    </w:tbl>
    <w:p>
      <w:pPr>
        <w:sectPr>
          <w:pgSz w:w="11900" w:h="16838" w:orient="portrait"/>
          <w:cols w:equalWidth="0" w:num="1">
            <w:col w:w="11400"/>
          </w:cols>
          <w:pgMar w:left="240" w:top="131" w:right="259" w:bottom="0" w:gutter="0" w:footer="0" w:header="0"/>
        </w:sectPr>
      </w:pPr>
    </w:p>
    <w:bookmarkStart w:id="8" w:name="page9"/>
    <w:bookmarkEnd w:id="8"/>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6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r>
      <w:tr>
        <w:trPr>
          <w:trHeight w:val="459"/>
        </w:trPr>
        <w:tc>
          <w:tcPr>
            <w:tcW w:w="4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4620" w:type="dxa"/>
            <w:vAlign w:val="bottom"/>
          </w:tcPr>
          <w:p>
            <w:pPr>
              <w:ind w:left="160"/>
              <w:spacing w:after="0"/>
              <w:rPr>
                <w:sz w:val="20"/>
                <w:szCs w:val="20"/>
                <w:color w:val="auto"/>
              </w:rPr>
            </w:pPr>
            <w:r>
              <w:rPr>
                <w:rFonts w:ascii="Arial" w:cs="Arial" w:eastAsia="Arial" w:hAnsi="Arial"/>
                <w:sz w:val="18"/>
                <w:szCs w:val="18"/>
                <w:color w:val="auto"/>
              </w:rPr>
              <w:t>Accrued non-compete/non-solicitation payments</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4620" w:type="dxa"/>
            <w:vAlign w:val="bottom"/>
          </w:tcPr>
          <w:p>
            <w:pPr>
              <w:ind w:left="160"/>
              <w:spacing w:after="0"/>
              <w:rPr>
                <w:sz w:val="20"/>
                <w:szCs w:val="20"/>
                <w:color w:val="auto"/>
              </w:rPr>
            </w:pPr>
            <w:r>
              <w:rPr>
                <w:rFonts w:ascii="Arial" w:cs="Arial" w:eastAsia="Arial" w:hAnsi="Arial"/>
                <w:sz w:val="18"/>
                <w:szCs w:val="18"/>
                <w:color w:val="auto"/>
              </w:rPr>
              <w:t>Accrued sales commissions</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421"/>
        </w:trPr>
        <w:tc>
          <w:tcPr>
            <w:tcW w:w="462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color w:val="auto"/>
              </w:rPr>
              <w:t>Total purchase price</w:t>
            </w: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3,802</w:t>
            </w:r>
          </w:p>
        </w:tc>
      </w:tr>
    </w:tbl>
    <w:p>
      <w:pPr>
        <w:spacing w:after="0" w:line="200" w:lineRule="exact"/>
        <w:rPr>
          <w:sz w:val="20"/>
          <w:szCs w:val="20"/>
          <w:color w:val="auto"/>
        </w:rPr>
      </w:pPr>
    </w:p>
    <w:p>
      <w:pPr>
        <w:spacing w:after="0" w:line="264"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We estimated the fair value of identifiable intangible assets acquired using a combination of the income, cost and market approaches.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The following table provides further information about the finite-lived intangible assets acquired in connection with the acquisition of Thermonics as of the acquisition date:</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3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3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i w:val="1"/>
                <w:iCs w:val="1"/>
                <w:color w:val="auto"/>
                <w:w w:val="93"/>
              </w:rPr>
              <w:t>Fair</w:t>
            </w:r>
          </w:p>
        </w:tc>
        <w:tc>
          <w:tcPr>
            <w:tcW w:w="2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0"/>
              </w:rPr>
              <w:t>Estimated</w:t>
            </w:r>
          </w:p>
        </w:tc>
      </w:tr>
      <w:tr>
        <w:trPr>
          <w:trHeight w:val="146"/>
        </w:trPr>
        <w:tc>
          <w:tcPr>
            <w:tcW w:w="3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4"/>
          </w:tcPr>
          <w:p>
            <w:pPr>
              <w:jc w:val="right"/>
              <w:ind w:right="80"/>
              <w:spacing w:after="0" w:line="146" w:lineRule="exact"/>
              <w:rPr>
                <w:sz w:val="20"/>
                <w:szCs w:val="20"/>
                <w:color w:val="auto"/>
              </w:rPr>
            </w:pPr>
            <w:r>
              <w:rPr>
                <w:rFonts w:ascii="Arial" w:cs="Arial" w:eastAsia="Arial" w:hAnsi="Arial"/>
                <w:sz w:val="14"/>
                <w:szCs w:val="14"/>
                <w:b w:val="1"/>
                <w:bCs w:val="1"/>
                <w:i w:val="1"/>
                <w:iCs w:val="1"/>
                <w:color w:val="auto"/>
              </w:rPr>
              <w:t>Value</w:t>
            </w:r>
          </w:p>
        </w:tc>
        <w:tc>
          <w:tcPr>
            <w:tcW w:w="260" w:type="dxa"/>
            <w:vAlign w:val="bottom"/>
          </w:tcPr>
          <w:p>
            <w:pPr>
              <w:spacing w:after="0"/>
              <w:rPr>
                <w:sz w:val="12"/>
                <w:szCs w:val="12"/>
                <w:color w:val="auto"/>
              </w:rPr>
            </w:pPr>
          </w:p>
        </w:tc>
        <w:tc>
          <w:tcPr>
            <w:tcW w:w="64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r>
      <w:tr>
        <w:trPr>
          <w:trHeight w:val="161"/>
        </w:trPr>
        <w:tc>
          <w:tcPr>
            <w:tcW w:w="3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(in months)</w:t>
            </w:r>
          </w:p>
        </w:tc>
        <w:tc>
          <w:tcPr>
            <w:tcW w:w="20" w:type="dxa"/>
            <w:vAlign w:val="bottom"/>
          </w:tcPr>
          <w:p>
            <w:pPr>
              <w:spacing w:after="0"/>
              <w:rPr>
                <w:sz w:val="13"/>
                <w:szCs w:val="13"/>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$1,110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Customer backlog</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Thermonics trade name</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Patented technology</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r>
      <w:tr>
        <w:trPr>
          <w:trHeight w:val="421"/>
        </w:trPr>
        <w:tc>
          <w:tcPr>
            <w:tcW w:w="3400" w:type="dxa"/>
            <w:vAlign w:val="bottom"/>
          </w:tcPr>
          <w:p>
            <w:pPr>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gridSpan w:val="3"/>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682"/>
        </w:trPr>
        <w:tc>
          <w:tcPr>
            <w:tcW w:w="34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24"/>
                <w:szCs w:val="24"/>
                <w:color w:val="auto"/>
              </w:rPr>
            </w:pPr>
          </w:p>
        </w:tc>
      </w:tr>
      <w:tr>
        <w:trPr>
          <w:trHeight w:val="856"/>
        </w:trPr>
        <w:tc>
          <w:tcPr>
            <w:tcW w:w="3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w w:val="90"/>
              </w:rPr>
              <w:t>- 10 -</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right="160"/>
        <w:spacing w:after="0" w:line="370" w:lineRule="auto"/>
        <w:rPr>
          <w:sz w:val="20"/>
          <w:szCs w:val="20"/>
          <w:color w:val="auto"/>
        </w:rPr>
      </w:pPr>
      <w:r>
        <w:rPr>
          <w:rFonts w:ascii="Arial" w:cs="Arial" w:eastAsia="Arial" w:hAnsi="Arial"/>
          <w:sz w:val="15"/>
          <w:szCs w:val="15"/>
          <w:color w:val="auto"/>
        </w:rPr>
        <w:t>For the period from January 16, 2012 to June 30, 2012, Thermonics contributed $2,044 of net revenues. We do not track net income within our Thermal Products segment by product line. As a result, the net income for Thermonics for the period from January 16, 2012 to June 30, 2012 is not available.</w:t>
      </w:r>
    </w:p>
    <w:p>
      <w:pPr>
        <w:spacing w:after="0" w:line="116" w:lineRule="exact"/>
        <w:rPr>
          <w:sz w:val="20"/>
          <w:szCs w:val="20"/>
          <w:color w:val="auto"/>
        </w:rPr>
      </w:pPr>
    </w:p>
    <w:p>
      <w:pPr>
        <w:ind w:left="540" w:right="140"/>
        <w:spacing w:after="0" w:line="298" w:lineRule="auto"/>
        <w:rPr>
          <w:sz w:val="20"/>
          <w:szCs w:val="20"/>
          <w:color w:val="auto"/>
        </w:rPr>
      </w:pPr>
      <w:r>
        <w:rPr>
          <w:rFonts w:ascii="Arial" w:cs="Arial" w:eastAsia="Arial" w:hAnsi="Arial"/>
          <w:sz w:val="16"/>
          <w:szCs w:val="16"/>
          <w:color w:val="auto"/>
        </w:rPr>
        <w:t>The following unaudited pro forma information gives effect to the acquisition of Thermonics as if the acquisition occurred on January 1, 2011.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2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880" w:type="dxa"/>
            <w:vAlign w:val="bottom"/>
            <w:gridSpan w:val="8"/>
          </w:tcPr>
          <w:p>
            <w:pPr>
              <w:jc w:val="center"/>
              <w:ind w:left="2857"/>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580" w:type="dxa"/>
            <w:vAlign w:val="bottom"/>
            <w:gridSpan w:val="8"/>
          </w:tcPr>
          <w:p>
            <w:pPr>
              <w:ind w:left="320"/>
              <w:spacing w:after="0"/>
              <w:rPr>
                <w:sz w:val="20"/>
                <w:szCs w:val="20"/>
                <w:color w:val="auto"/>
              </w:rPr>
            </w:pPr>
            <w:r>
              <w:rPr>
                <w:rFonts w:ascii="Arial" w:cs="Arial" w:eastAsia="Arial" w:hAnsi="Arial"/>
                <w:sz w:val="14"/>
                <w:szCs w:val="14"/>
                <w:b w:val="1"/>
                <w:bCs w:val="1"/>
                <w:i w:val="1"/>
                <w:iCs w:val="1"/>
                <w:color w:val="auto"/>
              </w:rPr>
              <w:t>Six Months Ended</w:t>
            </w:r>
          </w:p>
        </w:tc>
      </w:tr>
      <w:tr>
        <w:trPr>
          <w:trHeight w:val="146"/>
        </w:trPr>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gridSpan w:val="4"/>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54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gridSpan w:val="4"/>
          </w:tcPr>
          <w:p>
            <w:pPr>
              <w:ind w:left="18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320" w:type="dxa"/>
            <w:vAlign w:val="bottom"/>
            <w:gridSpan w:val="2"/>
          </w:tcPr>
          <w:p>
            <w:pPr>
              <w:spacing w:after="0"/>
              <w:rPr>
                <w:sz w:val="12"/>
                <w:szCs w:val="12"/>
                <w:color w:val="auto"/>
              </w:rPr>
            </w:pPr>
          </w:p>
        </w:tc>
      </w:tr>
      <w:tr>
        <w:trPr>
          <w:trHeight w:val="223"/>
        </w:trPr>
        <w:tc>
          <w:tcPr>
            <w:tcW w:w="3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320" w:type="dxa"/>
            <w:vAlign w:val="bottom"/>
          </w:tcPr>
          <w:p>
            <w:pPr>
              <w:spacing w:after="0"/>
              <w:rPr>
                <w:sz w:val="19"/>
                <w:szCs w:val="19"/>
                <w:color w:val="auto"/>
              </w:rPr>
            </w:pPr>
          </w:p>
        </w:tc>
        <w:tc>
          <w:tcPr>
            <w:tcW w:w="900" w:type="dxa"/>
            <w:vAlign w:val="bottom"/>
            <w:gridSpan w:val="4"/>
          </w:tcPr>
          <w:p>
            <w:pPr>
              <w:jc w:val="right"/>
              <w:ind w:right="460"/>
              <w:spacing w:after="0"/>
              <w:rPr>
                <w:sz w:val="20"/>
                <w:szCs w:val="20"/>
                <w:color w:val="auto"/>
              </w:rPr>
            </w:pPr>
            <w:r>
              <w:rPr>
                <w:rFonts w:ascii="Arial" w:cs="Arial" w:eastAsia="Arial" w:hAnsi="Arial"/>
                <w:sz w:val="14"/>
                <w:szCs w:val="14"/>
                <w:b w:val="1"/>
                <w:bCs w:val="1"/>
                <w:i w:val="1"/>
                <w:iCs w:val="1"/>
                <w:color w:val="auto"/>
              </w:rPr>
              <w:t>2011</w:t>
            </w:r>
          </w:p>
        </w:tc>
        <w:tc>
          <w:tcPr>
            <w:tcW w:w="920" w:type="dxa"/>
            <w:vAlign w:val="bottom"/>
            <w:gridSpan w:val="4"/>
          </w:tcPr>
          <w:p>
            <w:pPr>
              <w:ind w:left="320"/>
              <w:spacing w:after="0"/>
              <w:rPr>
                <w:sz w:val="20"/>
                <w:szCs w:val="20"/>
                <w:color w:val="auto"/>
              </w:rPr>
            </w:pPr>
            <w:r>
              <w:rPr>
                <w:rFonts w:ascii="Arial" w:cs="Arial" w:eastAsia="Arial" w:hAnsi="Arial"/>
                <w:sz w:val="14"/>
                <w:szCs w:val="14"/>
                <w:b w:val="1"/>
                <w:bCs w:val="1"/>
                <w:i w:val="1"/>
                <w:iCs w:val="1"/>
                <w:color w:val="auto"/>
              </w:rPr>
              <w:t>2012</w:t>
            </w:r>
          </w:p>
        </w:tc>
        <w:tc>
          <w:tcPr>
            <w:tcW w:w="660" w:type="dxa"/>
            <w:vAlign w:val="bottom"/>
            <w:gridSpan w:val="4"/>
          </w:tcPr>
          <w:p>
            <w:pPr>
              <w:jc w:val="right"/>
              <w:ind w:right="240"/>
              <w:spacing w:after="0"/>
              <w:rPr>
                <w:sz w:val="20"/>
                <w:szCs w:val="20"/>
                <w:color w:val="auto"/>
              </w:rPr>
            </w:pPr>
            <w:r>
              <w:rPr>
                <w:rFonts w:ascii="Arial" w:cs="Arial" w:eastAsia="Arial" w:hAnsi="Arial"/>
                <w:sz w:val="14"/>
                <w:szCs w:val="14"/>
                <w:b w:val="1"/>
                <w:bCs w:val="1"/>
                <w:i w:val="1"/>
                <w:iCs w:val="1"/>
                <w:color w:val="auto"/>
              </w:rPr>
              <w:t>2011</w:t>
            </w:r>
          </w:p>
        </w:tc>
      </w:tr>
      <w:tr>
        <w:trPr>
          <w:trHeight w:val="471"/>
        </w:trPr>
        <w:tc>
          <w:tcPr>
            <w:tcW w:w="340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22"/>
        </w:trPr>
        <w:tc>
          <w:tcPr>
            <w:tcW w:w="3980" w:type="dxa"/>
            <w:vAlign w:val="bottom"/>
            <w:gridSpan w:val="4"/>
          </w:tcPr>
          <w:p>
            <w:pPr>
              <w:jc w:val="right"/>
              <w:ind w:right="80"/>
              <w:spacing w:after="0"/>
              <w:rPr>
                <w:sz w:val="20"/>
                <w:szCs w:val="20"/>
                <w:color w:val="auto"/>
              </w:rPr>
            </w:pPr>
            <w:r>
              <w:rPr>
                <w:rFonts w:ascii="Arial" w:cs="Arial" w:eastAsia="Arial" w:hAnsi="Arial"/>
                <w:sz w:val="18"/>
                <w:szCs w:val="18"/>
                <w:color w:val="auto"/>
              </w:rPr>
              <w:t>$13,576</w:t>
            </w: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w w:val="98"/>
              </w:rPr>
              <w:t>$14,975</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$24,523</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$28,045</w:t>
            </w:r>
          </w:p>
        </w:tc>
      </w:tr>
      <w:tr>
        <w:trPr>
          <w:trHeight w:val="237"/>
        </w:trPr>
        <w:tc>
          <w:tcPr>
            <w:tcW w:w="3980" w:type="dxa"/>
            <w:vAlign w:val="bottom"/>
            <w:gridSpan w:val="4"/>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3980" w:type="dxa"/>
            <w:vAlign w:val="bottom"/>
            <w:gridSpan w:val="4"/>
          </w:tcPr>
          <w:p>
            <w:pPr>
              <w:jc w:val="right"/>
              <w:ind w:right="80"/>
              <w:spacing w:after="0"/>
              <w:rPr>
                <w:sz w:val="20"/>
                <w:szCs w:val="20"/>
                <w:color w:val="auto"/>
              </w:rPr>
            </w:pPr>
            <w:r>
              <w:rPr>
                <w:rFonts w:ascii="Arial" w:cs="Arial" w:eastAsia="Arial" w:hAnsi="Arial"/>
                <w:sz w:val="18"/>
                <w:szCs w:val="18"/>
                <w:color w:val="auto"/>
              </w:rPr>
              <w:t>1,334</w:t>
            </w: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2,259</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1,879</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2,676</w:t>
            </w:r>
          </w:p>
        </w:tc>
      </w:tr>
      <w:tr>
        <w:trPr>
          <w:trHeight w:val="237"/>
        </w:trPr>
        <w:tc>
          <w:tcPr>
            <w:tcW w:w="3980" w:type="dxa"/>
            <w:vAlign w:val="bottom"/>
            <w:gridSpan w:val="4"/>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3980" w:type="dxa"/>
            <w:vAlign w:val="bottom"/>
            <w:gridSpan w:val="4"/>
          </w:tcPr>
          <w:p>
            <w:pPr>
              <w:jc w:val="right"/>
              <w:ind w:right="80"/>
              <w:spacing w:after="0"/>
              <w:rPr>
                <w:sz w:val="20"/>
                <w:szCs w:val="20"/>
                <w:color w:val="auto"/>
              </w:rPr>
            </w:pPr>
            <w:r>
              <w:rPr>
                <w:rFonts w:ascii="Arial" w:cs="Arial" w:eastAsia="Arial" w:hAnsi="Arial"/>
                <w:sz w:val="18"/>
                <w:szCs w:val="18"/>
                <w:color w:val="auto"/>
              </w:rPr>
              <w:t>$0.13</w:t>
            </w: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rPr>
              <w:t>$0.22</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$0.18</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$0.26</w:t>
            </w:r>
          </w:p>
        </w:tc>
      </w:tr>
    </w:tbl>
    <w:p>
      <w:pPr>
        <w:spacing w:after="0" w:line="223"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proforma results for 2011 shown above include non-recurring charges of $337 which represent transaction costs related to the Thermonics acquisition and $359 which represent facility closure costs related to the relocation of Thermonics' operations.</w:t>
      </w:r>
    </w:p>
    <w:p>
      <w:pPr>
        <w:sectPr>
          <w:pgSz w:w="11900" w:h="16838" w:orient="portrait"/>
          <w:cols w:equalWidth="0" w:num="1">
            <w:col w:w="11380"/>
          </w:cols>
          <w:pgMar w:left="240" w:top="158" w:right="279" w:bottom="0" w:gutter="0" w:footer="0" w:header="0"/>
        </w:sect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GOODWILL AND INTANGIBLE ASSETS</w:t>
      </w:r>
    </w:p>
    <w:p>
      <w:pPr>
        <w:sectPr>
          <w:pgSz w:w="11900" w:h="16838" w:orient="portrait"/>
          <w:cols w:equalWidth="0" w:num="1">
            <w:col w:w="11380"/>
          </w:cols>
          <w:pgMar w:left="240" w:top="158" w:right="279" w:bottom="0" w:gutter="0" w:footer="0" w:header="0"/>
          <w:type w:val="continuous"/>
        </w:sectPr>
      </w:pPr>
    </w:p>
    <w:bookmarkStart w:id="9" w:name="page10"/>
    <w:bookmarkEnd w:id="9"/>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jc w:val="both"/>
        <w:ind w:left="540" w:right="60"/>
        <w:spacing w:after="0" w:line="259" w:lineRule="auto"/>
        <w:rPr>
          <w:sz w:val="20"/>
          <w:szCs w:val="20"/>
          <w:color w:val="auto"/>
        </w:rPr>
      </w:pPr>
      <w:r>
        <w:rPr>
          <w:rFonts w:ascii="Arial" w:cs="Arial" w:eastAsia="Arial" w:hAnsi="Arial"/>
          <w:sz w:val="18"/>
          <w:szCs w:val="18"/>
          <w:color w:val="auto"/>
        </w:rPr>
        <w:t>Goodwill on our balance sheets is a result of our acquisitions of Sigma Systems Corp. ("Sigma") in October 2008 and Thermonics in January 2012. The acquisition of Thermonics is discussed further in Note 3. All of our goodwill is allocated to our Thermal Products segment. Changes in the amount of the carrying value of goodwill for the six months ended June 30, 2012 are as follows:</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0"/>
              </w:rPr>
              <w:t>Sigma</w:t>
            </w:r>
          </w:p>
        </w:tc>
        <w:tc>
          <w:tcPr>
            <w:tcW w:w="260" w:type="dxa"/>
            <w:vAlign w:val="bottom"/>
            <w:gridSpan w:val="2"/>
          </w:tcPr>
          <w:p>
            <w:pPr>
              <w:spacing w:after="0"/>
              <w:rPr>
                <w:sz w:val="14"/>
                <w:szCs w:val="14"/>
                <w:color w:val="auto"/>
              </w:rPr>
            </w:pPr>
          </w:p>
        </w:tc>
        <w:tc>
          <w:tcPr>
            <w:tcW w:w="68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5"/>
              </w:rPr>
              <w:t>Thermonics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w w:val="71"/>
              </w:rPr>
              <w:t>Total</w:t>
            </w:r>
          </w:p>
        </w:tc>
      </w:tr>
      <w:tr>
        <w:trPr>
          <w:trHeight w:val="20"/>
        </w:trPr>
        <w:tc>
          <w:tcPr>
            <w:tcW w:w="2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5"/>
        </w:trPr>
        <w:tc>
          <w:tcPr>
            <w:tcW w:w="264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7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$1,656</w:t>
            </w: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$1,656</w:t>
            </w:r>
          </w:p>
        </w:tc>
      </w:tr>
      <w:tr>
        <w:trPr>
          <w:trHeight w:val="421"/>
        </w:trPr>
        <w:tc>
          <w:tcPr>
            <w:tcW w:w="264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880" w:type="dxa"/>
            <w:vAlign w:val="bottom"/>
            <w:gridSpan w:val="2"/>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r>
      <w:tr>
        <w:trPr>
          <w:trHeight w:val="439"/>
        </w:trPr>
        <w:tc>
          <w:tcPr>
            <w:tcW w:w="2640" w:type="dxa"/>
            <w:vAlign w:val="bottom"/>
          </w:tcPr>
          <w:p>
            <w:pPr>
              <w:spacing w:after="0"/>
              <w:rPr>
                <w:sz w:val="20"/>
                <w:szCs w:val="20"/>
                <w:color w:val="auto"/>
              </w:rPr>
            </w:pPr>
            <w:r>
              <w:rPr>
                <w:rFonts w:ascii="Arial" w:cs="Arial" w:eastAsia="Arial" w:hAnsi="Arial"/>
                <w:sz w:val="18"/>
                <w:szCs w:val="18"/>
                <w:color w:val="auto"/>
              </w:rPr>
              <w:t>Balance - June 30, 2012</w:t>
            </w:r>
          </w:p>
        </w:tc>
        <w:tc>
          <w:tcPr>
            <w:tcW w:w="7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1,706</w:t>
            </w:r>
          </w:p>
        </w:tc>
      </w:tr>
      <w:tr>
        <w:trPr>
          <w:trHeight w:val="20"/>
        </w:trPr>
        <w:tc>
          <w:tcPr>
            <w:tcW w:w="2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As of June 30, 2012 and December 31, 2011, we had finite-lived intangible assets on our balance sheets that are a result of our acquisitions of Sigma Systems Corp. ("Sigma") in October 2008 and Thermonics in January 2012. The acquisition of Thermonics is discussed further in Note 3. At each of June 30, 2012 and December 31, 2011, we also had an indefinite-lived intangible asset which consists of a trademark. This asset is a result of our acquisition of Sigma in October 2008.</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further detail about our intangible assets as of June 30, 2012 and December 31, 2011:</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i w:val="1"/>
                <w:iCs w:val="1"/>
                <w:color w:val="auto"/>
              </w:rPr>
              <w:t>June 30, 2012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gridSpan w:val="5"/>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40" w:type="dxa"/>
            <w:vAlign w:val="bottom"/>
          </w:tcPr>
          <w:p>
            <w:pPr>
              <w:spacing w:after="0"/>
              <w:rPr>
                <w:sz w:val="12"/>
                <w:szCs w:val="12"/>
                <w:color w:val="auto"/>
              </w:rPr>
            </w:pPr>
          </w:p>
        </w:tc>
        <w:tc>
          <w:tcPr>
            <w:tcW w:w="1520" w:type="dxa"/>
            <w:vAlign w:val="bottom"/>
            <w:gridSpan w:val="6"/>
          </w:tcPr>
          <w:p>
            <w:pPr>
              <w:jc w:val="center"/>
              <w:ind w:left="736"/>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60" w:type="dxa"/>
            <w:vAlign w:val="bottom"/>
            <w:gridSpan w:val="7"/>
          </w:tcPr>
          <w:p>
            <w:pPr>
              <w:ind w:left="8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gridSpan w:val="5"/>
          </w:tcPr>
          <w:p>
            <w:pPr>
              <w:jc w:val="center"/>
              <w:ind w:right="52"/>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960" w:type="dxa"/>
            <w:vAlign w:val="bottom"/>
            <w:gridSpan w:val="7"/>
          </w:tcPr>
          <w:p>
            <w:pPr>
              <w:ind w:left="100"/>
              <w:spacing w:after="0" w:line="146" w:lineRule="exact"/>
              <w:rPr>
                <w:sz w:val="20"/>
                <w:szCs w:val="20"/>
                <w:color w:val="auto"/>
              </w:rPr>
            </w:pPr>
            <w:r>
              <w:rPr>
                <w:rFonts w:ascii="Arial" w:cs="Arial" w:eastAsia="Arial" w:hAnsi="Arial"/>
                <w:sz w:val="14"/>
                <w:szCs w:val="14"/>
                <w:b w:val="1"/>
                <w:bCs w:val="1"/>
                <w:i w:val="1"/>
                <w:iCs w:val="1"/>
                <w:color w:val="auto"/>
                <w:w w:val="98"/>
              </w:rPr>
              <w:t>Amortization</w:t>
            </w:r>
          </w:p>
        </w:tc>
        <w:tc>
          <w:tcPr>
            <w:tcW w:w="58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9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$ 316</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$1,164</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400</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169</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140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124</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70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94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08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w:t>
            </w:r>
          </w:p>
        </w:tc>
        <w:tc>
          <w:tcPr>
            <w:tcW w:w="400" w:type="dxa"/>
            <w:vAlign w:val="bottom"/>
            <w:gridSpan w:val="3"/>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2,598</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1,897</w:t>
            </w: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3940" w:type="dxa"/>
            <w:vAlign w:val="bottom"/>
          </w:tcPr>
          <w:p>
            <w:pPr>
              <w:ind w:left="140"/>
              <w:spacing w:after="0"/>
              <w:rPr>
                <w:sz w:val="20"/>
                <w:szCs w:val="20"/>
                <w:color w:val="auto"/>
              </w:rPr>
            </w:pPr>
            <w:r>
              <w:rPr>
                <w:rFonts w:ascii="Arial" w:cs="Arial" w:eastAsia="Arial" w:hAnsi="Arial"/>
                <w:sz w:val="18"/>
                <w:szCs w:val="18"/>
                <w:color w:val="auto"/>
              </w:rPr>
              <w:t>Trademark</w:t>
            </w:r>
          </w:p>
        </w:tc>
        <w:tc>
          <w:tcPr>
            <w:tcW w:w="108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510</w:t>
            </w:r>
          </w:p>
        </w:tc>
        <w:tc>
          <w:tcPr>
            <w:tcW w:w="480" w:type="dxa"/>
            <w:vAlign w:val="bottom"/>
            <w:gridSpan w:val="4"/>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5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$ 701</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2,407</w:t>
            </w:r>
          </w:p>
        </w:tc>
      </w:tr>
      <w:tr>
        <w:trPr>
          <w:trHeight w:val="20"/>
        </w:trPr>
        <w:tc>
          <w:tcPr>
            <w:tcW w:w="3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642"/>
        </w:trPr>
        <w:tc>
          <w:tcPr>
            <w:tcW w:w="3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i w:val="1"/>
                <w:iCs w:val="1"/>
                <w:color w:val="auto"/>
                <w:w w:val="84"/>
              </w:rPr>
              <w:t>December 31, 2011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3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gridSpan w:val="5"/>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40" w:type="dxa"/>
            <w:vAlign w:val="bottom"/>
          </w:tcPr>
          <w:p>
            <w:pPr>
              <w:spacing w:after="0"/>
              <w:rPr>
                <w:sz w:val="12"/>
                <w:szCs w:val="12"/>
                <w:color w:val="auto"/>
              </w:rPr>
            </w:pPr>
          </w:p>
        </w:tc>
        <w:tc>
          <w:tcPr>
            <w:tcW w:w="1520" w:type="dxa"/>
            <w:vAlign w:val="bottom"/>
            <w:gridSpan w:val="6"/>
          </w:tcPr>
          <w:p>
            <w:pPr>
              <w:jc w:val="center"/>
              <w:ind w:left="736"/>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60" w:type="dxa"/>
            <w:vAlign w:val="bottom"/>
            <w:gridSpan w:val="7"/>
          </w:tcPr>
          <w:p>
            <w:pPr>
              <w:ind w:left="8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gridSpan w:val="5"/>
          </w:tcPr>
          <w:p>
            <w:pPr>
              <w:jc w:val="center"/>
              <w:ind w:right="52"/>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960" w:type="dxa"/>
            <w:vAlign w:val="bottom"/>
            <w:gridSpan w:val="7"/>
          </w:tcPr>
          <w:p>
            <w:pPr>
              <w:ind w:left="100"/>
              <w:spacing w:after="0" w:line="146" w:lineRule="exact"/>
              <w:rPr>
                <w:sz w:val="20"/>
                <w:szCs w:val="20"/>
                <w:color w:val="auto"/>
              </w:rPr>
            </w:pPr>
            <w:r>
              <w:rPr>
                <w:rFonts w:ascii="Arial" w:cs="Arial" w:eastAsia="Arial" w:hAnsi="Arial"/>
                <w:sz w:val="14"/>
                <w:szCs w:val="14"/>
                <w:b w:val="1"/>
                <w:bCs w:val="1"/>
                <w:i w:val="1"/>
                <w:iCs w:val="1"/>
                <w:color w:val="auto"/>
                <w:w w:val="98"/>
              </w:rPr>
              <w:t>Amortization</w:t>
            </w:r>
          </w:p>
        </w:tc>
        <w:tc>
          <w:tcPr>
            <w:tcW w:w="58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9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  370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  200</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  170</w:t>
            </w:r>
          </w:p>
        </w:tc>
      </w:tr>
      <w:tr>
        <w:trPr>
          <w:trHeight w:val="459"/>
        </w:trPr>
        <w:tc>
          <w:tcPr>
            <w:tcW w:w="39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230</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80</w:t>
            </w:r>
          </w:p>
        </w:tc>
      </w:tr>
      <w:tr>
        <w:trPr>
          <w:trHeight w:val="421"/>
        </w:trPr>
        <w:tc>
          <w:tcPr>
            <w:tcW w:w="39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8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w:t>
            </w:r>
          </w:p>
        </w:tc>
      </w:tr>
    </w:tbl>
    <w:p>
      <w:pPr>
        <w:sectPr>
          <w:pgSz w:w="11900" w:h="16838" w:orient="portrait"/>
          <w:cols w:equalWidth="0" w:num="1">
            <w:col w:w="11380"/>
          </w:cols>
          <w:pgMar w:left="240" w:top="131" w:right="279" w:bottom="0" w:gutter="0" w:footer="0" w:header="0"/>
        </w:sectPr>
      </w:pPr>
    </w:p>
    <w:bookmarkStart w:id="10" w:name="page11"/>
    <w:bookmarkEnd w:id="10"/>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5020" w:type="dxa"/>
            <w:vAlign w:val="bottom"/>
            <w:vMerge w:val="restart"/>
          </w:tcPr>
          <w:p>
            <w:pPr>
              <w:spacing w:after="0"/>
              <w:rPr>
                <w:sz w:val="20"/>
                <w:szCs w:val="20"/>
                <w:color w:val="auto"/>
              </w:rPr>
            </w:pPr>
            <w:r>
              <w:rPr>
                <w:rFonts w:ascii="Arial" w:cs="Arial" w:eastAsia="Arial" w:hAnsi="Arial"/>
                <w:sz w:val="18"/>
                <w:szCs w:val="18"/>
                <w:color w:val="auto"/>
              </w:rPr>
              <w:t>Total finite-lived intangible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870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86"/>
        </w:trPr>
        <w:tc>
          <w:tcPr>
            <w:tcW w:w="5020" w:type="dxa"/>
            <w:vAlign w:val="bottom"/>
            <w:vMerge w:val="continue"/>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50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020" w:type="dxa"/>
            <w:vAlign w:val="bottom"/>
          </w:tcPr>
          <w:p>
            <w:pPr>
              <w:ind w:left="140"/>
              <w:spacing w:after="0"/>
              <w:rPr>
                <w:sz w:val="20"/>
                <w:szCs w:val="20"/>
                <w:color w:val="auto"/>
              </w:rPr>
            </w:pPr>
            <w:r>
              <w:rPr>
                <w:rFonts w:ascii="Arial" w:cs="Arial" w:eastAsia="Arial" w:hAnsi="Arial"/>
                <w:sz w:val="18"/>
                <w:szCs w:val="18"/>
                <w:color w:val="auto"/>
              </w:rPr>
              <w:t>Trademark</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439"/>
        </w:trPr>
        <w:tc>
          <w:tcPr>
            <w:tcW w:w="50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1,380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  438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942</w:t>
            </w:r>
          </w:p>
        </w:tc>
        <w:tc>
          <w:tcPr>
            <w:tcW w:w="0" w:type="dxa"/>
            <w:vAlign w:val="bottom"/>
          </w:tcPr>
          <w:p>
            <w:pPr>
              <w:spacing w:after="0"/>
              <w:rPr>
                <w:sz w:val="1"/>
                <w:szCs w:val="1"/>
                <w:color w:val="auto"/>
              </w:rPr>
            </w:pPr>
          </w:p>
        </w:tc>
      </w:tr>
      <w:tr>
        <w:trPr>
          <w:trHeight w:val="20"/>
        </w:trPr>
        <w:tc>
          <w:tcPr>
            <w:tcW w:w="50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 The following table provides further information about the estimated useful lives of our finite-lived intangible assets as of June 30, 2012:</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i w:val="1"/>
                <w:iCs w:val="1"/>
                <w:color w:val="auto"/>
                <w:w w:val="86"/>
              </w:rPr>
              <w:t>Remaining</w:t>
            </w:r>
          </w:p>
        </w:tc>
      </w:tr>
      <w:tr>
        <w:trPr>
          <w:trHeight w:val="149"/>
        </w:trPr>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9"/>
        </w:trPr>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c>
          <w:tcPr>
            <w:tcW w:w="6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6"/>
              </w:rPr>
              <w:t>Useful Life at</w:t>
            </w:r>
          </w:p>
        </w:tc>
      </w:tr>
      <w:tr>
        <w:trPr>
          <w:trHeight w:val="146"/>
        </w:trPr>
        <w:tc>
          <w:tcPr>
            <w:tcW w:w="5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Useful Life</w:t>
            </w:r>
          </w:p>
        </w:tc>
        <w:tc>
          <w:tcPr>
            <w:tcW w:w="100" w:type="dxa"/>
            <w:vAlign w:val="bottom"/>
          </w:tcPr>
          <w:p>
            <w:pPr>
              <w:spacing w:after="0"/>
              <w:rPr>
                <w:sz w:val="12"/>
                <w:szCs w:val="12"/>
                <w:color w:val="auto"/>
              </w:rPr>
            </w:pPr>
          </w:p>
        </w:tc>
        <w:tc>
          <w:tcPr>
            <w:tcW w:w="9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 2012</w:t>
            </w:r>
          </w:p>
        </w:tc>
      </w:tr>
      <w:tr>
        <w:trPr>
          <w:trHeight w:val="20"/>
        </w:trPr>
        <w:tc>
          <w:tcPr>
            <w:tcW w:w="5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5"/>
          </w:tcPr>
          <w:p>
            <w:pPr>
              <w:jc w:val="right"/>
              <w:ind w:right="220"/>
              <w:spacing w:after="0"/>
              <w:rPr>
                <w:sz w:val="20"/>
                <w:szCs w:val="20"/>
                <w:color w:val="auto"/>
              </w:rPr>
            </w:pPr>
            <w:r>
              <w:rPr>
                <w:rFonts w:ascii="Arial" w:cs="Arial" w:eastAsia="Arial" w:hAnsi="Arial"/>
                <w:sz w:val="14"/>
                <w:szCs w:val="14"/>
                <w:color w:val="auto"/>
              </w:rPr>
              <w:t>- - - - (in months) - - - -</w:t>
            </w:r>
          </w:p>
        </w:tc>
      </w:tr>
      <w:tr>
        <w:trPr>
          <w:trHeight w:val="296"/>
        </w:trPr>
        <w:tc>
          <w:tcPr>
            <w:tcW w:w="560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Sigma:</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6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459"/>
        </w:trPr>
        <w:tc>
          <w:tcPr>
            <w:tcW w:w="56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75</w:t>
            </w:r>
          </w:p>
        </w:tc>
      </w:tr>
      <w:tr>
        <w:trPr>
          <w:trHeight w:val="459"/>
        </w:trPr>
        <w:tc>
          <w:tcPr>
            <w:tcW w:w="560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w w:val="95"/>
              </w:rPr>
              <w:t>Finite-lived intangible assets resulting from the acquisition of Thermonics:</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6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66.5</w:t>
            </w:r>
          </w:p>
        </w:tc>
      </w:tr>
      <w:tr>
        <w:trPr>
          <w:trHeight w:val="459"/>
        </w:trPr>
        <w:tc>
          <w:tcPr>
            <w:tcW w:w="560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60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42.5</w:t>
            </w:r>
          </w:p>
        </w:tc>
      </w:tr>
      <w:tr>
        <w:trPr>
          <w:trHeight w:val="459"/>
        </w:trPr>
        <w:tc>
          <w:tcPr>
            <w:tcW w:w="560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126.5</w:t>
            </w:r>
          </w:p>
        </w:tc>
      </w:tr>
      <w:tr>
        <w:trPr>
          <w:trHeight w:val="459"/>
        </w:trPr>
        <w:tc>
          <w:tcPr>
            <w:tcW w:w="560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w:t>
            </w:r>
          </w:p>
        </w:tc>
      </w:tr>
    </w:tbl>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six months ended June 30, 2012:</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19"/>
                <w:szCs w:val="19"/>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1,728</w:t>
            </w:r>
          </w:p>
        </w:tc>
        <w:tc>
          <w:tcPr>
            <w:tcW w:w="40" w:type="dxa"/>
            <w:vAlign w:val="bottom"/>
          </w:tcPr>
          <w:p>
            <w:pPr>
              <w:spacing w:after="0"/>
              <w:rPr>
                <w:sz w:val="24"/>
                <w:szCs w:val="24"/>
                <w:color w:val="auto"/>
              </w:rPr>
            </w:pPr>
          </w:p>
        </w:tc>
      </w:tr>
      <w:tr>
        <w:trPr>
          <w:trHeight w:val="421"/>
        </w:trPr>
        <w:tc>
          <w:tcPr>
            <w:tcW w:w="410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(263)</w:t>
            </w: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100" w:type="dxa"/>
            <w:vAlign w:val="bottom"/>
          </w:tcPr>
          <w:p>
            <w:pPr>
              <w:spacing w:after="0"/>
              <w:rPr>
                <w:sz w:val="20"/>
                <w:szCs w:val="20"/>
                <w:color w:val="auto"/>
              </w:rPr>
            </w:pPr>
            <w:r>
              <w:rPr>
                <w:rFonts w:ascii="Arial" w:cs="Arial" w:eastAsia="Arial" w:hAnsi="Arial"/>
                <w:sz w:val="18"/>
                <w:szCs w:val="18"/>
                <w:color w:val="auto"/>
              </w:rPr>
              <w:t>Balance - June 30, 2012</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1,897</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Total amortization expense for the six months ended June 30, 2012 and 2011 was $263 and $67, respectively. Total estimated amortization expense for 2012 is $476. The following table sets forth the estimated annual amortization expense for our finite-lived intangible assets for each of the next five years:</w:t>
      </w:r>
    </w:p>
    <w:p>
      <w:pPr>
        <w:spacing w:after="0" w:line="153"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2016</w:t>
            </w: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2017</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bl>
    <w:p>
      <w:pPr>
        <w:sectPr>
          <w:pgSz w:w="11900" w:h="16838" w:orient="portrait"/>
          <w:cols w:equalWidth="0" w:num="1">
            <w:col w:w="11380"/>
          </w:cols>
          <w:pgMar w:left="240" w:top="41" w:right="279" w:bottom="186" w:gutter="0" w:footer="0" w:header="0"/>
        </w:sectPr>
      </w:pPr>
    </w:p>
    <w:bookmarkStart w:id="11" w:name="page12"/>
    <w:bookmarkEnd w:id="11"/>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19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In connection with the acquisition of Thermonics, as discussed further in Note 3, we signed a separate one year lease for the facility in Sunnyvale, California occupied by Thermonics at the time of the acquisition. This facility is owned by the seller. We ceased operations at this facility in February 2012 and relocated the Thermonics product line to our facility in Mansfield, Massachusetts where our Temptronic operations are located. During the first quarter of 2012, we incurred approximately $359 of facility closure costs related to this action. These costs included lease termination fees of approximately $220 and other costs associated with this consolidation of facilities, including the cost to relocate inventory and equipment, of approximately $139. Accrued restructuring and other charges are included in Other Current Liabilities on our balance sheet.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six months ended June 30, 2012 are summarized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gridSpan w:val="8"/>
          </w:tcPr>
          <w:p>
            <w:pPr>
              <w:jc w:val="center"/>
              <w:ind w:left="739"/>
              <w:spacing w:after="0"/>
              <w:rPr>
                <w:sz w:val="20"/>
                <w:szCs w:val="20"/>
                <w:color w:val="auto"/>
              </w:rPr>
            </w:pPr>
            <w:r>
              <w:rPr>
                <w:rFonts w:ascii="Arial" w:cs="Arial" w:eastAsia="Arial" w:hAnsi="Arial"/>
                <w:sz w:val="14"/>
                <w:szCs w:val="14"/>
                <w:b w:val="1"/>
                <w:bCs w:val="1"/>
                <w:i w:val="1"/>
                <w:iCs w:val="1"/>
                <w:color w:val="auto"/>
                <w:w w:val="85"/>
              </w:rPr>
              <w:t>Thermonics</w:t>
            </w:r>
          </w:p>
        </w:tc>
      </w:tr>
      <w:tr>
        <w:trPr>
          <w:trHeight w:val="146"/>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c>
          <w:tcPr>
            <w:tcW w:w="40" w:type="dxa"/>
            <w:vAlign w:val="bottom"/>
          </w:tcPr>
          <w:p>
            <w:pPr>
              <w:spacing w:after="0"/>
              <w:rPr>
                <w:sz w:val="12"/>
                <w:szCs w:val="12"/>
                <w:color w:val="auto"/>
              </w:rPr>
            </w:pPr>
          </w:p>
        </w:tc>
      </w:tr>
      <w:tr>
        <w:trPr>
          <w:trHeight w:val="235"/>
        </w:trPr>
        <w:tc>
          <w:tcPr>
            <w:tcW w:w="320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22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3200" w:type="dxa"/>
            <w:vAlign w:val="bottom"/>
          </w:tcPr>
          <w:p>
            <w:pPr>
              <w:spacing w:after="0"/>
              <w:rPr>
                <w:sz w:val="20"/>
                <w:szCs w:val="20"/>
                <w:color w:val="auto"/>
              </w:rPr>
            </w:pPr>
            <w:r>
              <w:rPr>
                <w:rFonts w:ascii="Arial" w:cs="Arial" w:eastAsia="Arial" w:hAnsi="Arial"/>
                <w:sz w:val="18"/>
                <w:szCs w:val="18"/>
                <w:color w:val="auto"/>
              </w:rPr>
              <w:t>Cash payments related to facility</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320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1020" w:type="dxa"/>
            <w:vAlign w:val="bottom"/>
            <w:gridSpan w:val="2"/>
          </w:tcPr>
          <w:p>
            <w:pPr>
              <w:spacing w:after="0"/>
              <w:rPr>
                <w:sz w:val="15"/>
                <w:szCs w:val="15"/>
                <w:color w:val="auto"/>
              </w:rPr>
            </w:pPr>
          </w:p>
        </w:tc>
        <w:tc>
          <w:tcPr>
            <w:tcW w:w="440" w:type="dxa"/>
            <w:vAlign w:val="bottom"/>
            <w:gridSpan w:val="5"/>
          </w:tcPr>
          <w:p>
            <w:pPr>
              <w:ind w:left="40"/>
              <w:spacing w:after="0" w:line="184" w:lineRule="exact"/>
              <w:rPr>
                <w:sz w:val="20"/>
                <w:szCs w:val="20"/>
                <w:color w:val="auto"/>
              </w:rPr>
            </w:pPr>
            <w:r>
              <w:rPr>
                <w:rFonts w:ascii="Arial" w:cs="Arial" w:eastAsia="Arial" w:hAnsi="Arial"/>
                <w:sz w:val="18"/>
                <w:szCs w:val="18"/>
                <w:color w:val="auto"/>
                <w:w w:val="90"/>
              </w:rPr>
              <w:t>(359)</w:t>
            </w:r>
          </w:p>
        </w:tc>
        <w:tc>
          <w:tcPr>
            <w:tcW w:w="40" w:type="dxa"/>
            <w:vAlign w:val="bottom"/>
          </w:tcPr>
          <w:p>
            <w:pPr>
              <w:spacing w:after="0"/>
              <w:rPr>
                <w:sz w:val="15"/>
                <w:szCs w:val="15"/>
                <w:color w:val="auto"/>
              </w:rPr>
            </w:pPr>
          </w:p>
        </w:tc>
      </w:tr>
      <w:tr>
        <w:trPr>
          <w:trHeight w:val="439"/>
        </w:trPr>
        <w:tc>
          <w:tcPr>
            <w:tcW w:w="3200" w:type="dxa"/>
            <w:vAlign w:val="bottom"/>
          </w:tcPr>
          <w:p>
            <w:pPr>
              <w:spacing w:after="0"/>
              <w:rPr>
                <w:sz w:val="20"/>
                <w:szCs w:val="20"/>
                <w:color w:val="auto"/>
              </w:rPr>
            </w:pPr>
            <w:r>
              <w:rPr>
                <w:rFonts w:ascii="Arial" w:cs="Arial" w:eastAsia="Arial" w:hAnsi="Arial"/>
                <w:sz w:val="18"/>
                <w:szCs w:val="18"/>
                <w:color w:val="auto"/>
              </w:rPr>
              <w:t>Balance - June 30, 2012</w:t>
            </w:r>
          </w:p>
        </w:tc>
        <w:tc>
          <w:tcPr>
            <w:tcW w:w="1020" w:type="dxa"/>
            <w:vAlign w:val="bottom"/>
            <w:gridSpan w:val="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jc w:val="both"/>
        <w:ind w:left="540" w:right="160"/>
        <w:spacing w:after="0" w:line="303" w:lineRule="auto"/>
        <w:rPr>
          <w:sz w:val="20"/>
          <w:szCs w:val="20"/>
          <w:color w:val="auto"/>
        </w:rPr>
      </w:pPr>
      <w:r>
        <w:rPr>
          <w:rFonts w:ascii="Arial" w:cs="Arial" w:eastAsia="Arial" w:hAnsi="Arial"/>
          <w:sz w:val="15"/>
          <w:szCs w:val="15"/>
          <w:color w:val="auto"/>
        </w:rPr>
        <w:t>During the six months ended June 30, 2012 and 2011, Texas Instruments Incorporated accounted for 19% and 11%, respectively, of our consolidated net revenues. While all three of our operating segments sold products to this customer, these revenues were primarily generated by our Mechanical Products and our Electrical Products segments. During the six months ended June 30, 2012, Teradyne, Inc. accounted for 14% of our consolidated net revenues.</w:t>
      </w:r>
    </w:p>
    <w:p>
      <w:pPr>
        <w:spacing w:after="0" w:line="1"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While both our Mechanical Products and our Electrical Products segments sold products to this customer, these revenues were primarily generated by our Electrical Products segment. No other customer accounted for 10% or more of our consolidated net revenues during the six months ended June 30, 2012 and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June 30, 2012 and December 31, 2011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60" w:type="dxa"/>
            <w:vAlign w:val="bottom"/>
            <w:gridSpan w:val="4"/>
          </w:tcPr>
          <w:p>
            <w:pPr>
              <w:ind w:left="680"/>
              <w:spacing w:after="0"/>
              <w:rPr>
                <w:sz w:val="20"/>
                <w:szCs w:val="20"/>
                <w:color w:val="auto"/>
              </w:rPr>
            </w:pPr>
            <w:r>
              <w:rPr>
                <w:rFonts w:ascii="Arial" w:cs="Arial" w:eastAsia="Arial" w:hAnsi="Arial"/>
                <w:sz w:val="14"/>
                <w:szCs w:val="14"/>
                <w:b w:val="1"/>
                <w:bCs w:val="1"/>
                <w:i w:val="1"/>
                <w:iCs w:val="1"/>
                <w:color w:val="auto"/>
              </w:rPr>
              <w:t>June 30,</w:t>
            </w:r>
          </w:p>
        </w:tc>
        <w:tc>
          <w:tcPr>
            <w:tcW w:w="52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2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2011</w:t>
            </w:r>
          </w:p>
        </w:tc>
        <w:tc>
          <w:tcPr>
            <w:tcW w:w="60" w:type="dxa"/>
            <w:vAlign w:val="bottom"/>
          </w:tcPr>
          <w:p>
            <w:pPr>
              <w:spacing w:after="0"/>
              <w:rPr>
                <w:sz w:val="12"/>
                <w:szCs w:val="12"/>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Raw materials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$3,087</w:t>
            </w:r>
          </w:p>
        </w:tc>
        <w:tc>
          <w:tcPr>
            <w:tcW w:w="2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$2,784</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 in process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351</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201</w:t>
            </w:r>
          </w:p>
        </w:tc>
      </w:tr>
      <w:tr>
        <w:trPr>
          <w:trHeight w:val="421"/>
        </w:trPr>
        <w:tc>
          <w:tcPr>
            <w:tcW w:w="2780" w:type="dxa"/>
            <w:vAlign w:val="bottom"/>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560</w:t>
            </w:r>
          </w:p>
        </w:tc>
      </w:tr>
      <w:tr>
        <w:trPr>
          <w:trHeight w:val="439"/>
        </w:trPr>
        <w:tc>
          <w:tcPr>
            <w:tcW w:w="27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4,449</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3,896</w:t>
            </w: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June 30, 2012 and December 31, 2011 consisted of the following:</w:t>
      </w:r>
    </w:p>
    <w:p>
      <w:pPr>
        <w:spacing w:after="0" w:line="15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7"/>
          </w:tcPr>
          <w:p>
            <w:pPr>
              <w:jc w:val="right"/>
              <w:ind w:right="220"/>
              <w:spacing w:after="0"/>
              <w:rPr>
                <w:sz w:val="20"/>
                <w:szCs w:val="20"/>
                <w:color w:val="auto"/>
              </w:rPr>
            </w:pPr>
            <w:r>
              <w:rPr>
                <w:rFonts w:ascii="Arial" w:cs="Arial" w:eastAsia="Arial" w:hAnsi="Arial"/>
                <w:sz w:val="14"/>
                <w:szCs w:val="14"/>
                <w:b w:val="1"/>
                <w:bCs w:val="1"/>
                <w:i w:val="1"/>
                <w:iCs w:val="1"/>
                <w:color w:val="auto"/>
                <w:w w:val="81"/>
              </w:rPr>
              <w:t>Letters of Credit</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40" w:type="dxa"/>
            <w:vAlign w:val="bottom"/>
          </w:tcPr>
          <w:p>
            <w:pPr>
              <w:spacing w:after="0"/>
              <w:rPr>
                <w:sz w:val="12"/>
                <w:szCs w:val="12"/>
                <w:color w:val="auto"/>
              </w:rPr>
            </w:pPr>
          </w:p>
        </w:tc>
        <w:tc>
          <w:tcPr>
            <w:tcW w:w="1260" w:type="dxa"/>
            <w:vAlign w:val="bottom"/>
            <w:gridSpan w:val="8"/>
          </w:tcPr>
          <w:p>
            <w:pPr>
              <w:jc w:val="right"/>
              <w:ind w:right="80"/>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Facility</w:t>
            </w: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gridSpan w:val="2"/>
            <w:vMerge w:val="continue"/>
          </w:tcPr>
          <w:p>
            <w:pPr>
              <w:spacing w:after="0"/>
              <w:rPr>
                <w:sz w:val="13"/>
                <w:szCs w:val="13"/>
                <w:color w:val="auto"/>
              </w:rPr>
            </w:pPr>
          </w:p>
        </w:tc>
        <w:tc>
          <w:tcPr>
            <w:tcW w:w="19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i w:val="1"/>
                <w:iCs w:val="1"/>
                <w:color w:val="auto"/>
              </w:rPr>
              <w:t>Original L/C</w:t>
            </w: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i w:val="1"/>
                <w:iCs w:val="1"/>
                <w:color w:val="auto"/>
                <w:w w:val="87"/>
              </w:rPr>
              <w:t>Expiration</w:t>
            </w: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i w:val="1"/>
                <w:iCs w:val="1"/>
                <w:color w:val="auto"/>
                <w:w w:val="87"/>
              </w:rPr>
              <w:t>Expiration</w:t>
            </w:r>
          </w:p>
        </w:tc>
        <w:tc>
          <w:tcPr>
            <w:tcW w:w="620" w:type="dxa"/>
            <w:vAlign w:val="bottom"/>
            <w:gridSpan w:val="5"/>
            <w:vMerge w:val="restart"/>
          </w:tcPr>
          <w:p>
            <w:pPr>
              <w:jc w:val="center"/>
              <w:spacing w:after="0"/>
              <w:rPr>
                <w:sz w:val="20"/>
                <w:szCs w:val="20"/>
                <w:color w:val="auto"/>
              </w:rPr>
            </w:pPr>
            <w:r>
              <w:rPr>
                <w:rFonts w:ascii="Arial" w:cs="Arial" w:eastAsia="Arial" w:hAnsi="Arial"/>
                <w:sz w:val="14"/>
                <w:szCs w:val="14"/>
                <w:b w:val="1"/>
                <w:bCs w:val="1"/>
                <w:i w:val="1"/>
                <w:iCs w:val="1"/>
                <w:color w:val="auto"/>
                <w:w w:val="85"/>
              </w:rPr>
              <w:t>June 30,</w:t>
            </w: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i w:val="1"/>
                <w:iCs w:val="1"/>
                <w:color w:val="auto"/>
              </w:rPr>
              <w:t>Dec. 31,</w:t>
            </w:r>
          </w:p>
        </w:tc>
        <w:tc>
          <w:tcPr>
            <w:tcW w:w="0" w:type="dxa"/>
            <w:vAlign w:val="bottom"/>
          </w:tcPr>
          <w:p>
            <w:pPr>
              <w:spacing w:after="0"/>
              <w:rPr>
                <w:sz w:val="1"/>
                <w:szCs w:val="1"/>
                <w:color w:val="auto"/>
              </w:rPr>
            </w:pPr>
          </w:p>
        </w:tc>
      </w:tr>
      <w:tr>
        <w:trPr>
          <w:trHeight w:val="50"/>
        </w:trPr>
        <w:tc>
          <w:tcPr>
            <w:tcW w:w="420" w:type="dxa"/>
            <w:vAlign w:val="bottom"/>
            <w:tcBorders>
              <w:top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620" w:type="dxa"/>
            <w:vAlign w:val="bottom"/>
            <w:gridSpan w:val="5"/>
            <w:vMerge w:val="continue"/>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40" w:type="dxa"/>
            <w:vAlign w:val="bottom"/>
            <w:gridSpan w:val="3"/>
          </w:tcPr>
          <w:p>
            <w:pPr>
              <w:jc w:val="right"/>
              <w:ind w:right="280"/>
              <w:spacing w:after="0" w:line="146" w:lineRule="exact"/>
              <w:rPr>
                <w:sz w:val="20"/>
                <w:szCs w:val="20"/>
                <w:color w:val="auto"/>
              </w:rPr>
            </w:pPr>
            <w:r>
              <w:rPr>
                <w:rFonts w:ascii="Arial" w:cs="Arial" w:eastAsia="Arial" w:hAnsi="Arial"/>
                <w:sz w:val="14"/>
                <w:szCs w:val="14"/>
                <w:b w:val="1"/>
                <w:bCs w:val="1"/>
                <w:i w:val="1"/>
                <w:iCs w:val="1"/>
                <w:color w:val="auto"/>
              </w:rPr>
              <w:t>Issue Date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140" w:type="dxa"/>
            <w:vAlign w:val="bottom"/>
          </w:tcPr>
          <w:p>
            <w:pPr>
              <w:spacing w:after="0"/>
              <w:rPr>
                <w:sz w:val="12"/>
                <w:szCs w:val="12"/>
                <w:color w:val="auto"/>
              </w:rPr>
            </w:pPr>
          </w:p>
        </w:tc>
        <w:tc>
          <w:tcPr>
            <w:tcW w:w="8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560" w:type="dxa"/>
            <w:vAlign w:val="bottom"/>
            <w:gridSpan w:val="4"/>
          </w:tcPr>
          <w:p>
            <w:pPr>
              <w:jc w:val="right"/>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60" w:type="dxa"/>
            <w:vAlign w:val="bottom"/>
          </w:tcPr>
          <w:p>
            <w:pPr>
              <w:spacing w:after="0"/>
              <w:rPr>
                <w:sz w:val="12"/>
                <w:szCs w:val="12"/>
                <w:color w:val="auto"/>
              </w:rPr>
            </w:pPr>
          </w:p>
        </w:tc>
        <w:tc>
          <w:tcPr>
            <w:tcW w:w="700" w:type="dxa"/>
            <w:vAlign w:val="bottom"/>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8"/>
                <w:szCs w:val="18"/>
                <w:color w:val="auto"/>
              </w:rPr>
              <w:t>Mt. Laurel, NJ</w:t>
            </w:r>
          </w:p>
        </w:tc>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2"/>
            <w:vMerge w:val="continue"/>
          </w:tcPr>
          <w:p>
            <w:pPr>
              <w:spacing w:after="0"/>
              <w:rPr>
                <w:sz w:val="20"/>
                <w:szCs w:val="20"/>
                <w:color w:val="auto"/>
              </w:rPr>
            </w:pPr>
          </w:p>
        </w:tc>
        <w:tc>
          <w:tcPr>
            <w:tcW w:w="1080" w:type="dxa"/>
            <w:vAlign w:val="bottom"/>
            <w:vMerge w:val="restart"/>
          </w:tcPr>
          <w:p>
            <w:pPr>
              <w:spacing w:after="0"/>
              <w:rPr>
                <w:sz w:val="20"/>
                <w:szCs w:val="20"/>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4"/>
              </w:rPr>
              <w:t>3/29/2010</w:t>
            </w: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4/01/2013</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4/30/2021</w:t>
            </w:r>
          </w:p>
        </w:tc>
        <w:tc>
          <w:tcPr>
            <w:tcW w:w="620" w:type="dxa"/>
            <w:vAlign w:val="bottom"/>
            <w:gridSpan w:val="5"/>
            <w:vMerge w:val="restart"/>
          </w:tcPr>
          <w:p>
            <w:pPr>
              <w:jc w:val="right"/>
              <w:spacing w:after="0"/>
              <w:rPr>
                <w:sz w:val="20"/>
                <w:szCs w:val="20"/>
                <w:color w:val="auto"/>
              </w:rPr>
            </w:pPr>
            <w:r>
              <w:rPr>
                <w:rFonts w:ascii="Arial" w:cs="Arial" w:eastAsia="Arial" w:hAnsi="Arial"/>
                <w:sz w:val="18"/>
                <w:szCs w:val="18"/>
                <w:color w:val="auto"/>
              </w:rPr>
              <w:t>$250</w:t>
            </w: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620" w:type="dxa"/>
            <w:vAlign w:val="bottom"/>
            <w:gridSpan w:val="5"/>
            <w:vMerge w:val="continue"/>
          </w:tcPr>
          <w:p>
            <w:pPr>
              <w:spacing w:after="0"/>
              <w:rPr>
                <w:sz w:val="18"/>
                <w:szCs w:val="18"/>
                <w:color w:val="auto"/>
              </w:rPr>
            </w:pPr>
          </w:p>
        </w:tc>
        <w:tc>
          <w:tcPr>
            <w:tcW w:w="7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9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10/27/2010</w:t>
            </w: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3"/>
              </w:rPr>
              <w:t>11/07/2012</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8/23/2021</w:t>
            </w:r>
          </w:p>
        </w:tc>
        <w:tc>
          <w:tcPr>
            <w:tcW w:w="620" w:type="dxa"/>
            <w:vAlign w:val="bottom"/>
            <w:gridSpan w:val="5"/>
            <w:vMerge w:val="restart"/>
          </w:tcPr>
          <w:p>
            <w:pPr>
              <w:jc w:val="right"/>
              <w:spacing w:after="0"/>
              <w:rPr>
                <w:sz w:val="20"/>
                <w:szCs w:val="20"/>
                <w:color w:val="auto"/>
              </w:rPr>
            </w:pPr>
            <w:r>
              <w:rPr>
                <w:rFonts w:ascii="Arial" w:cs="Arial" w:eastAsia="Arial" w:hAnsi="Arial"/>
                <w:sz w:val="18"/>
                <w:szCs w:val="18"/>
                <w:color w:val="auto"/>
              </w:rPr>
              <w:t>200</w:t>
            </w: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620" w:type="dxa"/>
            <w:vAlign w:val="bottom"/>
            <w:gridSpan w:val="5"/>
            <w:vMerge w:val="continue"/>
          </w:tcPr>
          <w:p>
            <w:pPr>
              <w:spacing w:after="0"/>
              <w:rPr>
                <w:sz w:val="18"/>
                <w:szCs w:val="18"/>
                <w:color w:val="auto"/>
              </w:rPr>
            </w:pPr>
          </w:p>
        </w:tc>
        <w:tc>
          <w:tcPr>
            <w:tcW w:w="7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gridSpan w:val="2"/>
          </w:tcPr>
          <w:p>
            <w:pPr>
              <w:spacing w:after="0"/>
              <w:rPr>
                <w:sz w:val="20"/>
                <w:szCs w:val="20"/>
                <w:color w:val="auto"/>
              </w:rPr>
            </w:pPr>
            <w:r>
              <w:rPr>
                <w:rFonts w:ascii="Arial" w:cs="Arial" w:eastAsia="Arial" w:hAnsi="Arial"/>
                <w:sz w:val="18"/>
                <w:szCs w:val="18"/>
                <w:color w:val="auto"/>
              </w:rPr>
              <w:t>San Jose, CA</w:t>
            </w:r>
          </w:p>
        </w:tc>
        <w:tc>
          <w:tcPr>
            <w:tcW w:w="19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9/13/2004</w:t>
            </w: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6/30/2012</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4/30/2012</w:t>
            </w:r>
          </w:p>
        </w:tc>
        <w:tc>
          <w:tcPr>
            <w:tcW w:w="360" w:type="dxa"/>
            <w:vAlign w:val="bottom"/>
            <w:gridSpan w:val="3"/>
            <w:vMerge w:val="restart"/>
          </w:tcPr>
          <w:p>
            <w:pPr>
              <w:spacing w:after="0"/>
              <w:rPr>
                <w:sz w:val="21"/>
                <w:szCs w:val="2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spacing w:after="0"/>
              <w:rPr>
                <w:sz w:val="21"/>
                <w:szCs w:val="2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260" w:type="dxa"/>
            <w:vAlign w:val="bottom"/>
            <w:tcBorders>
              <w:bottom w:val="single" w:sz="8" w:color="auto"/>
            </w:tcBorders>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3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LEASEHOLD IMPROVEMENTS AND DEFERRED RENT</w:t>
      </w:r>
    </w:p>
    <w:p>
      <w:pPr>
        <w:sectPr>
          <w:pgSz w:w="11900" w:h="16847" w:orient="portrait"/>
          <w:cols w:equalWidth="0" w:num="1">
            <w:col w:w="11420"/>
          </w:cols>
          <w:pgMar w:left="240" w:top="341" w:right="239" w:bottom="0" w:gutter="0" w:footer="0" w:header="0"/>
        </w:sectPr>
      </w:pPr>
    </w:p>
    <w:bookmarkStart w:id="12" w:name="page13"/>
    <w:bookmarkEnd w:id="12"/>
    <w:p>
      <w:pPr>
        <w:spacing w:after="0" w:line="46"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 Amortization of deferred rent for the six months ended June 30, 2012 and 2011 was $39 and $59, respectively.</w:t>
      </w:r>
    </w:p>
    <w:p>
      <w:pPr>
        <w:spacing w:after="0" w:line="120" w:lineRule="exact"/>
        <w:rPr>
          <w:sz w:val="20"/>
          <w:szCs w:val="20"/>
          <w:color w:val="auto"/>
        </w:rPr>
      </w:pPr>
    </w:p>
    <w:p>
      <w:pPr>
        <w:ind w:left="540" w:right="9400" w:hanging="532"/>
        <w:spacing w:after="0" w:line="577" w:lineRule="auto"/>
        <w:tabs>
          <w:tab w:leader="none" w:pos="3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360"/>
        <w:spacing w:after="0" w:line="268" w:lineRule="auto"/>
        <w:rPr>
          <w:sz w:val="20"/>
          <w:szCs w:val="20"/>
          <w:color w:val="auto"/>
        </w:rPr>
      </w:pPr>
      <w:r>
        <w:rPr>
          <w:rFonts w:ascii="Arial" w:cs="Arial" w:eastAsia="Arial" w:hAnsi="Arial"/>
          <w:sz w:val="18"/>
          <w:szCs w:val="18"/>
          <w:color w:val="auto"/>
        </w:rPr>
        <w:t>Warranty expense for the six months ended June 30, 2012 and 2011 was $55 and $103, respectively. The following table sets forth the changes in the liability for product warranties for the six months ended June 30, 2012:</w:t>
      </w:r>
    </w:p>
    <w:p>
      <w:pPr>
        <w:spacing w:after="0" w:line="15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$214</w:t>
            </w:r>
          </w:p>
        </w:tc>
        <w:tc>
          <w:tcPr>
            <w:tcW w:w="40" w:type="dxa"/>
            <w:vAlign w:val="bottom"/>
          </w:tcPr>
          <w:p>
            <w:pPr>
              <w:spacing w:after="0"/>
              <w:rPr>
                <w:sz w:val="19"/>
                <w:szCs w:val="19"/>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4"/>
                <w:szCs w:val="24"/>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421"/>
        </w:trPr>
        <w:tc>
          <w:tcPr>
            <w:tcW w:w="498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4"/>
                <w:szCs w:val="24"/>
                <w:color w:val="auto"/>
              </w:rPr>
            </w:pPr>
          </w:p>
        </w:tc>
      </w:tr>
      <w:tr>
        <w:trPr>
          <w:trHeight w:val="439"/>
        </w:trPr>
        <w:tc>
          <w:tcPr>
            <w:tcW w:w="4980" w:type="dxa"/>
            <w:vAlign w:val="bottom"/>
          </w:tcPr>
          <w:p>
            <w:pPr>
              <w:spacing w:after="0"/>
              <w:rPr>
                <w:sz w:val="20"/>
                <w:szCs w:val="20"/>
                <w:color w:val="auto"/>
              </w:rPr>
            </w:pPr>
            <w:r>
              <w:rPr>
                <w:rFonts w:ascii="Arial" w:cs="Arial" w:eastAsia="Arial" w:hAnsi="Arial"/>
                <w:sz w:val="18"/>
                <w:szCs w:val="18"/>
                <w:color w:val="auto"/>
              </w:rPr>
              <w:t>Balance - June 30, 2012</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246</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liability for product warranties is included in Other Current Liabilities on our balance sheet.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June 30, 2012, we had outstanding stock options and unvested restricted stock awards granted under stock-based employee compensation plans that are described more fully in Note 15 to the consolidated financial statements in our 2011 Form 10-K.</w:t>
      </w:r>
    </w:p>
    <w:p>
      <w:pPr>
        <w:spacing w:after="0" w:line="186"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As of June 30, 2012, total compensation expense to be recognized in future periods was $171. The weighted average period over which this expense is expected to be recognized is 1.7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380"/>
        <w:spacing w:after="0" w:line="335" w:lineRule="auto"/>
        <w:rPr>
          <w:sz w:val="20"/>
          <w:szCs w:val="20"/>
          <w:color w:val="auto"/>
        </w:rPr>
      </w:pPr>
      <w:r>
        <w:rPr>
          <w:rFonts w:ascii="Arial" w:cs="Arial" w:eastAsia="Arial" w:hAnsi="Arial"/>
          <w:sz w:val="15"/>
          <w:szCs w:val="15"/>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and six months ended June 30, 2012 and 2011, respectively, related to nonvested shares: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00" w:type="dxa"/>
            <w:vAlign w:val="bottom"/>
            <w:gridSpan w:val="11"/>
          </w:tcPr>
          <w:p>
            <w:pPr>
              <w:jc w:val="right"/>
              <w:ind w:right="120"/>
              <w:spacing w:after="0"/>
              <w:rPr>
                <w:sz w:val="20"/>
                <w:szCs w:val="20"/>
                <w:color w:val="auto"/>
              </w:rPr>
            </w:pPr>
            <w:r>
              <w:rPr>
                <w:rFonts w:ascii="Arial" w:cs="Arial" w:eastAsia="Arial" w:hAnsi="Arial"/>
                <w:sz w:val="14"/>
                <w:szCs w:val="14"/>
                <w:b w:val="1"/>
                <w:bCs w:val="1"/>
                <w:i w:val="1"/>
                <w:iCs w:val="1"/>
                <w:color w:val="auto"/>
              </w:rPr>
              <w:t>Three Months Ended</w:t>
            </w:r>
          </w:p>
        </w:tc>
        <w:tc>
          <w:tcPr>
            <w:tcW w:w="1380" w:type="dxa"/>
            <w:vAlign w:val="bottom"/>
            <w:gridSpan w:val="8"/>
          </w:tcPr>
          <w:p>
            <w:pPr>
              <w:jc w:val="center"/>
              <w:spacing w:after="0"/>
              <w:rPr>
                <w:sz w:val="20"/>
                <w:szCs w:val="20"/>
                <w:color w:val="auto"/>
              </w:rPr>
            </w:pPr>
            <w:r>
              <w:rPr>
                <w:rFonts w:ascii="Arial" w:cs="Arial" w:eastAsia="Arial" w:hAnsi="Arial"/>
                <w:sz w:val="14"/>
                <w:szCs w:val="14"/>
                <w:b w:val="1"/>
                <w:bCs w:val="1"/>
                <w:i w:val="1"/>
                <w:iCs w:val="1"/>
                <w:color w:val="auto"/>
                <w:w w:val="84"/>
              </w:rPr>
              <w:t>Six Months Ended</w:t>
            </w:r>
          </w:p>
        </w:tc>
      </w:tr>
      <w:tr>
        <w:trPr>
          <w:trHeight w:val="146"/>
        </w:trPr>
        <w:tc>
          <w:tcPr>
            <w:tcW w:w="3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4"/>
          </w:tcPr>
          <w:p>
            <w:pPr>
              <w:ind w:left="120"/>
              <w:spacing w:after="0" w:line="146" w:lineRule="exact"/>
              <w:rPr>
                <w:sz w:val="20"/>
                <w:szCs w:val="20"/>
                <w:color w:val="auto"/>
              </w:rPr>
            </w:pPr>
            <w:r>
              <w:rPr>
                <w:rFonts w:ascii="Arial" w:cs="Arial" w:eastAsia="Arial" w:hAnsi="Arial"/>
                <w:sz w:val="14"/>
                <w:szCs w:val="14"/>
                <w:b w:val="1"/>
                <w:bCs w:val="1"/>
                <w:i w:val="1"/>
                <w:iCs w:val="1"/>
                <w:color w:val="auto"/>
                <w:w w:val="92"/>
              </w:rPr>
              <w:t>June 30,</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3900" w:type="dxa"/>
            <w:vAlign w:val="bottom"/>
          </w:tcPr>
          <w:p>
            <w:pPr>
              <w:spacing w:after="0"/>
              <w:rPr>
                <w:sz w:val="13"/>
                <w:szCs w:val="13"/>
                <w:color w:val="auto"/>
              </w:rPr>
            </w:pPr>
          </w:p>
        </w:tc>
        <w:tc>
          <w:tcPr>
            <w:tcW w:w="800" w:type="dxa"/>
            <w:vAlign w:val="bottom"/>
            <w:gridSpan w:val="2"/>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gridSpan w:val="5"/>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w w:val="96"/>
              </w:rPr>
              <w:t>2011</w:t>
            </w:r>
          </w:p>
        </w:tc>
        <w:tc>
          <w:tcPr>
            <w:tcW w:w="70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280" w:type="dxa"/>
            <w:vAlign w:val="bottom"/>
          </w:tcPr>
          <w:p>
            <w:pPr>
              <w:spacing w:after="0"/>
              <w:rPr>
                <w:sz w:val="13"/>
                <w:szCs w:val="13"/>
                <w:color w:val="auto"/>
              </w:rPr>
            </w:pPr>
          </w:p>
        </w:tc>
        <w:tc>
          <w:tcPr>
            <w:tcW w:w="4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w w:val="83"/>
              </w:rPr>
              <w:t>2011</w:t>
            </w:r>
          </w:p>
        </w:tc>
      </w:tr>
      <w:tr>
        <w:trPr>
          <w:trHeight w:val="20"/>
        </w:trPr>
        <w:tc>
          <w:tcPr>
            <w:tcW w:w="39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2"/>
        </w:trPr>
        <w:tc>
          <w:tcPr>
            <w:tcW w:w="3900" w:type="dxa"/>
            <w:vAlign w:val="bottom"/>
          </w:tcPr>
          <w:p>
            <w:pPr>
              <w:spacing w:after="0"/>
              <w:rPr>
                <w:sz w:val="20"/>
                <w:szCs w:val="20"/>
                <w:color w:val="auto"/>
              </w:rPr>
            </w:pPr>
            <w:r>
              <w:rPr>
                <w:rFonts w:ascii="Arial" w:cs="Arial" w:eastAsia="Arial" w:hAnsi="Arial"/>
                <w:sz w:val="18"/>
                <w:szCs w:val="18"/>
                <w:color w:val="auto"/>
              </w:rPr>
              <w:t>Cost of revenues</w:t>
            </w:r>
          </w:p>
        </w:tc>
        <w:tc>
          <w:tcPr>
            <w:tcW w:w="800" w:type="dxa"/>
            <w:vAlign w:val="bottom"/>
            <w:gridSpan w:val="2"/>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2</w:t>
            </w:r>
          </w:p>
        </w:tc>
        <w:tc>
          <w:tcPr>
            <w:tcW w:w="26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  3</w:t>
            </w:r>
          </w:p>
        </w:tc>
        <w:tc>
          <w:tcPr>
            <w:tcW w:w="980" w:type="dxa"/>
            <w:vAlign w:val="bottom"/>
            <w:gridSpan w:val="5"/>
          </w:tcPr>
          <w:p>
            <w:pPr>
              <w:jc w:val="right"/>
              <w:ind w:right="280"/>
              <w:spacing w:after="0"/>
              <w:rPr>
                <w:sz w:val="20"/>
                <w:szCs w:val="20"/>
                <w:color w:val="auto"/>
              </w:rPr>
            </w:pPr>
            <w:r>
              <w:rPr>
                <w:rFonts w:ascii="Arial" w:cs="Arial" w:eastAsia="Arial" w:hAnsi="Arial"/>
                <w:sz w:val="18"/>
                <w:szCs w:val="18"/>
                <w:color w:val="auto"/>
              </w:rPr>
              <w:t>$  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  6</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Selling expense</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5"/>
          </w:tcPr>
          <w:p>
            <w:pPr>
              <w:jc w:val="right"/>
              <w:ind w:right="280"/>
              <w:spacing w:after="0"/>
              <w:rPr>
                <w:sz w:val="20"/>
                <w:szCs w:val="20"/>
                <w:color w:val="auto"/>
              </w:rPr>
            </w:pPr>
            <w:r>
              <w:rPr>
                <w:rFonts w:ascii="Arial" w:cs="Arial" w:eastAsia="Arial" w:hAnsi="Arial"/>
                <w:sz w:val="18"/>
                <w:szCs w:val="18"/>
                <w:color w:val="auto"/>
              </w:rPr>
              <w:t>4</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980" w:type="dxa"/>
            <w:vAlign w:val="bottom"/>
            <w:gridSpan w:val="5"/>
          </w:tcPr>
          <w:p>
            <w:pPr>
              <w:jc w:val="right"/>
              <w:ind w:right="280"/>
              <w:spacing w:after="0"/>
              <w:rPr>
                <w:sz w:val="20"/>
                <w:szCs w:val="20"/>
                <w:color w:val="auto"/>
              </w:rPr>
            </w:pPr>
            <w:r>
              <w:rPr>
                <w:rFonts w:ascii="Arial" w:cs="Arial" w:eastAsia="Arial" w:hAnsi="Arial"/>
                <w:sz w:val="18"/>
                <w:szCs w:val="18"/>
                <w:color w:val="auto"/>
              </w:rPr>
              <w:t>12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26</w:t>
            </w:r>
          </w:p>
        </w:tc>
      </w:tr>
      <w:tr>
        <w:trPr>
          <w:trHeight w:val="421"/>
        </w:trPr>
        <w:tc>
          <w:tcPr>
            <w:tcW w:w="3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gridSpan w:val="3"/>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440" w:type="dxa"/>
            <w:vAlign w:val="bottom"/>
            <w:gridSpan w:val="2"/>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r>
      <w:tr>
        <w:trPr>
          <w:trHeight w:val="439"/>
        </w:trPr>
        <w:tc>
          <w:tcPr>
            <w:tcW w:w="3900" w:type="dxa"/>
            <w:vAlign w:val="bottom"/>
          </w:tcPr>
          <w:p>
            <w:pPr>
              <w:spacing w:after="0"/>
              <w:rPr>
                <w:sz w:val="24"/>
                <w:szCs w:val="24"/>
                <w:color w:val="auto"/>
              </w:rPr>
            </w:pPr>
          </w:p>
        </w:tc>
        <w:tc>
          <w:tcPr>
            <w:tcW w:w="940" w:type="dxa"/>
            <w:vAlign w:val="bottom"/>
            <w:gridSpan w:val="3"/>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34</w:t>
            </w:r>
          </w:p>
        </w:tc>
        <w:tc>
          <w:tcPr>
            <w:tcW w:w="26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39</w:t>
            </w:r>
          </w:p>
        </w:tc>
        <w:tc>
          <w:tcPr>
            <w:tcW w:w="980" w:type="dxa"/>
            <w:vAlign w:val="bottom"/>
            <w:gridSpan w:val="5"/>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w:t>
            </w: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w:t>
            </w: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3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or six months ended June 30, 2012 or 2011.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six months ended June 30, 2012:</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3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Grant Date</w:t>
            </w:r>
          </w:p>
        </w:tc>
      </w:tr>
      <w:tr>
        <w:trPr>
          <w:trHeight w:val="146"/>
        </w:trPr>
        <w:tc>
          <w:tcPr>
            <w:tcW w:w="3980" w:type="dxa"/>
            <w:vAlign w:val="bottom"/>
          </w:tcPr>
          <w:p>
            <w:pPr>
              <w:spacing w:after="0"/>
              <w:rPr>
                <w:sz w:val="12"/>
                <w:szCs w:val="12"/>
                <w:color w:val="auto"/>
              </w:rPr>
            </w:pPr>
          </w:p>
        </w:tc>
        <w:tc>
          <w:tcPr>
            <w:tcW w:w="1400" w:type="dxa"/>
            <w:vAlign w:val="bottom"/>
            <w:gridSpan w:val="4"/>
          </w:tcPr>
          <w:p>
            <w:pPr>
              <w:ind w:left="680"/>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39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980" w:type="dxa"/>
            <w:vAlign w:val="bottom"/>
          </w:tcPr>
          <w:p>
            <w:pPr>
              <w:spacing w:after="0"/>
              <w:rPr>
                <w:sz w:val="20"/>
                <w:szCs w:val="20"/>
                <w:color w:val="auto"/>
              </w:rPr>
            </w:pPr>
            <w:r>
              <w:rPr>
                <w:rFonts w:ascii="Arial" w:cs="Arial" w:eastAsia="Arial" w:hAnsi="Arial"/>
                <w:sz w:val="18"/>
                <w:szCs w:val="18"/>
                <w:color w:val="auto"/>
              </w:rPr>
              <w:t>Nonvested shares outstanding, January 1, 2012</w:t>
            </w:r>
          </w:p>
        </w:tc>
        <w:tc>
          <w:tcPr>
            <w:tcW w:w="7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79"/>
              </w:rPr>
              <w:t>195,000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r>
      <w:tr>
        <w:trPr>
          <w:trHeight w:val="459"/>
        </w:trPr>
        <w:tc>
          <w:tcPr>
            <w:tcW w:w="3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59"/>
        </w:trPr>
        <w:tc>
          <w:tcPr>
            <w:tcW w:w="3980" w:type="dxa"/>
            <w:vAlign w:val="bottom"/>
          </w:tcPr>
          <w:p>
            <w:pPr>
              <w:ind w:left="140"/>
              <w:spacing w:after="0"/>
              <w:rPr>
                <w:sz w:val="20"/>
                <w:szCs w:val="20"/>
                <w:color w:val="auto"/>
              </w:rPr>
            </w:pPr>
            <w:r>
              <w:rPr>
                <w:rFonts w:ascii="Arial" w:cs="Arial" w:eastAsia="Arial" w:hAnsi="Arial"/>
                <w:sz w:val="18"/>
                <w:szCs w:val="18"/>
                <w:color w:val="auto"/>
              </w:rPr>
              <w:t>Vested</w:t>
            </w:r>
          </w:p>
        </w:tc>
        <w:tc>
          <w:tcPr>
            <w:tcW w:w="1400" w:type="dxa"/>
            <w:vAlign w:val="bottom"/>
            <w:gridSpan w:val="4"/>
          </w:tcPr>
          <w:p>
            <w:pPr>
              <w:ind w:left="720"/>
              <w:spacing w:after="0"/>
              <w:rPr>
                <w:sz w:val="20"/>
                <w:szCs w:val="20"/>
                <w:color w:val="auto"/>
              </w:rPr>
            </w:pPr>
            <w:r>
              <w:rPr>
                <w:rFonts w:ascii="Arial" w:cs="Arial" w:eastAsia="Arial" w:hAnsi="Arial"/>
                <w:sz w:val="18"/>
                <w:szCs w:val="18"/>
                <w:color w:val="auto"/>
                <w:w w:val="98"/>
              </w:rPr>
              <w:t>(68,750)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4"/>
                <w:szCs w:val="24"/>
                <w:color w:val="auto"/>
              </w:rPr>
            </w:pPr>
          </w:p>
        </w:tc>
      </w:tr>
      <w:tr>
        <w:trPr>
          <w:trHeight w:val="421"/>
        </w:trPr>
        <w:tc>
          <w:tcPr>
            <w:tcW w:w="3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39"/>
        </w:trPr>
        <w:tc>
          <w:tcPr>
            <w:tcW w:w="3980" w:type="dxa"/>
            <w:vAlign w:val="bottom"/>
          </w:tcPr>
          <w:p>
            <w:pPr>
              <w:spacing w:after="0"/>
              <w:rPr>
                <w:sz w:val="20"/>
                <w:szCs w:val="20"/>
                <w:color w:val="auto"/>
              </w:rPr>
            </w:pPr>
            <w:r>
              <w:rPr>
                <w:rFonts w:ascii="Arial" w:cs="Arial" w:eastAsia="Arial" w:hAnsi="Arial"/>
                <w:sz w:val="18"/>
                <w:szCs w:val="18"/>
                <w:color w:val="auto"/>
              </w:rPr>
              <w:t>Nonvested shares outstanding, June 30, 2012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126,250</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4"/>
                <w:szCs w:val="24"/>
                <w:color w:val="auto"/>
              </w:rPr>
            </w:pPr>
          </w:p>
        </w:tc>
      </w:tr>
      <w:tr>
        <w:trPr>
          <w:trHeight w:val="20"/>
        </w:trPr>
        <w:tc>
          <w:tcPr>
            <w:tcW w:w="39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84" w:orient="portrait"/>
          <w:cols w:equalWidth="0" w:num="1">
            <w:col w:w="11360"/>
          </w:cols>
          <w:pgMar w:left="240" w:top="131" w:right="299" w:bottom="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six months ended June 30, 2012:</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740" w:type="dxa"/>
            <w:vAlign w:val="bottom"/>
          </w:tcPr>
          <w:p>
            <w:pPr>
              <w:spacing w:after="0"/>
              <w:rPr>
                <w:sz w:val="12"/>
                <w:szCs w:val="12"/>
                <w:color w:val="auto"/>
              </w:rPr>
            </w:pPr>
          </w:p>
        </w:tc>
        <w:tc>
          <w:tcPr>
            <w:tcW w:w="66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i w:val="1"/>
                <w:iCs w:val="1"/>
                <w:color w:val="auto"/>
                <w:w w:val="83"/>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740" w:type="dxa"/>
            <w:vAlign w:val="bottom"/>
          </w:tcPr>
          <w:p>
            <w:pPr>
              <w:spacing w:after="0"/>
              <w:rPr>
                <w:sz w:val="12"/>
                <w:szCs w:val="12"/>
                <w:color w:val="auto"/>
              </w:rPr>
            </w:pPr>
          </w:p>
        </w:tc>
        <w:tc>
          <w:tcPr>
            <w:tcW w:w="660" w:type="dxa"/>
            <w:vAlign w:val="bottom"/>
            <w:gridSpan w:val="4"/>
          </w:tcPr>
          <w:p>
            <w:pPr>
              <w:jc w:val="right"/>
              <w:ind w:right="180"/>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8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47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w w:val="98"/>
              </w:rPr>
              <w:t>Options outstanding, January 1, 2012 (249,000 exercisable)</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249,000</w:t>
            </w:r>
          </w:p>
        </w:tc>
        <w:tc>
          <w:tcPr>
            <w:tcW w:w="80" w:type="dxa"/>
            <w:vAlign w:val="bottom"/>
          </w:tcPr>
          <w:p>
            <w:pPr>
              <w:spacing w:after="0"/>
              <w:rPr>
                <w:sz w:val="20"/>
                <w:szCs w:val="20"/>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$3.28</w:t>
            </w:r>
          </w:p>
        </w:tc>
      </w:tr>
      <w:tr>
        <w:trPr>
          <w:trHeight w:val="459"/>
        </w:trPr>
        <w:tc>
          <w:tcPr>
            <w:tcW w:w="4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59"/>
        </w:trPr>
        <w:tc>
          <w:tcPr>
            <w:tcW w:w="47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r>
      <w:tr>
        <w:trPr>
          <w:trHeight w:val="421"/>
        </w:trPr>
        <w:tc>
          <w:tcPr>
            <w:tcW w:w="47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(24,000)</w:t>
            </w: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4.14</w:t>
            </w:r>
          </w:p>
        </w:tc>
      </w:tr>
      <w:tr>
        <w:trPr>
          <w:trHeight w:val="20"/>
        </w:trPr>
        <w:tc>
          <w:tcPr>
            <w:tcW w:w="4740" w:type="dxa"/>
            <w:vAlign w:val="bottom"/>
            <w:tcBorders>
              <w:right w:val="single" w:sz="8" w:color="auto"/>
            </w:tcBorders>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9"/>
        </w:trPr>
        <w:tc>
          <w:tcPr>
            <w:tcW w:w="4740" w:type="dxa"/>
            <w:vAlign w:val="bottom"/>
          </w:tcPr>
          <w:p>
            <w:pPr>
              <w:spacing w:after="0"/>
              <w:rPr>
                <w:sz w:val="20"/>
                <w:szCs w:val="20"/>
                <w:color w:val="auto"/>
              </w:rPr>
            </w:pPr>
            <w:r>
              <w:rPr>
                <w:rFonts w:ascii="Arial" w:cs="Arial" w:eastAsia="Arial" w:hAnsi="Arial"/>
                <w:sz w:val="18"/>
                <w:szCs w:val="18"/>
                <w:color w:val="auto"/>
              </w:rPr>
              <w:t>Options outstanding, June 30, 2012 (225,000 exercisable)</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225,000</w:t>
            </w:r>
          </w:p>
        </w:tc>
        <w:tc>
          <w:tcPr>
            <w:tcW w:w="80" w:type="dxa"/>
            <w:vAlign w:val="bottom"/>
          </w:tcPr>
          <w:p>
            <w:pPr>
              <w:spacing w:after="0"/>
              <w:rPr>
                <w:sz w:val="24"/>
                <w:szCs w:val="24"/>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3.19</w:t>
            </w:r>
          </w:p>
        </w:tc>
      </w:tr>
      <w:tr>
        <w:trPr>
          <w:trHeight w:val="640"/>
        </w:trPr>
        <w:tc>
          <w:tcPr>
            <w:tcW w:w="4740" w:type="dxa"/>
            <w:vAlign w:val="bottom"/>
          </w:tcPr>
          <w:p>
            <w:pPr>
              <w:spacing w:after="0"/>
              <w:rPr>
                <w:sz w:val="24"/>
                <w:szCs w:val="24"/>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- 15 -</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91"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color w:val="auto"/>
        </w:rPr>
        <w:t>We have a defined contribution 401(k) plan for our employees who work in the U.S. (the "inTEST 401(k) Plan"). All permanent employees of inTEST Corporation and inTEST Silicon Valley Corp who are at least 18 years of age are eligible to participate in the plan. We match employee contributions dollar for dollar up to 10% of the employee's annual compensation, with a maximum limit of $5. Employer contributions vest over four years. Matching contributions are discretionary.</w:t>
      </w:r>
    </w:p>
    <w:p>
      <w:pPr>
        <w:spacing w:after="0" w:line="197"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Temptronic adopted a defined contribution 401(k) plan for its domestic employees in 1988, that was merged into the inTEST 401(k) Plan effective September 1, 2002. The inTEST 401(k) Plan retains the matching provisions of the prior Temptronic plan for all Temptronic employees. Temptronic matches employee contributions $0.50 on the dollar up to 6% of the employees' annual compensation, with a maximum limit of $3. Matching contributions are discretionary. The eligibility and vesting provisions of the prior Temptronic plan have been conformed to those for inTEST Corporation and inTEST Silicon Valley Corporation employees.</w:t>
      </w:r>
    </w:p>
    <w:p>
      <w:pPr>
        <w:spacing w:after="0" w:line="197"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In addition to the employer matching for which Temptronic employees are eligible, upon the termination of the Temptronic Equity Participation Plan ("EPP"), we also acknowledged that it was our intention to contribute $3,000 in the aggregate to the inTEST 401(k) Plan as a form of profit sharing (not to exceed $300 per year) for the benefit of Temptronic employees. The amount of these contributions approximates the amount that we had been committed to contribute to the EPP as of its termination date. All such profit sharing contributions are at the discretion of management, and will be allocated to employees annually in the same manner in which the shares held by the EPP had been allocated. The vesting provisions for these contributions are the same as those of the inTEST 401(k) Plan. Accruals for profit sharing contributions totaling $150 were made during the each of the six months ended June 30, 2012 and 2011, respectively. Through June 30, 2012, we had made a total of $2,003 in profit sharing contributions. We have historically funded these contributions through the use of treasury shares during the quarter subsequent to the quarter in which we record the profit sharing liability, although management has the discretion to use cash to fund these contributions. Our current intention is to use cash to fund these contributions when our stock price is below $3.00 per share.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Thermal Products, Mechanical Products and Electrical Products.</w:t>
      </w:r>
    </w:p>
    <w:p>
      <w:pPr>
        <w:spacing w:after="0" w:line="225"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The Thermal Products segment includes the operations of Temptronic Corporation, Thermonics (which we acquired in January 2012 as discussed further in Note 3), Sigma Systems Corp., Temptronic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97"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8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automotive, consumer electronics, defense/aerospace and telecommunications industries. Intercompany pricing between segments is either a multiple of cost for component parts or list price for finished goods.</w:t>
      </w:r>
    </w:p>
    <w:p>
      <w:pPr>
        <w:sectPr>
          <w:pgSz w:w="11900" w:h="16838" w:orient="portrait"/>
          <w:cols w:equalWidth="0" w:num="1">
            <w:col w:w="11400"/>
          </w:cols>
          <w:pgMar w:left="240" w:top="361" w:right="259" w:bottom="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- 16 -</w:t>
      </w:r>
    </w:p>
    <w:p>
      <w:pPr>
        <w:sectPr>
          <w:pgSz w:w="11900" w:h="16838" w:orient="portrait"/>
          <w:cols w:equalWidth="0" w:num="1">
            <w:col w:w="11400"/>
          </w:cols>
          <w:pgMar w:left="240" w:top="361" w:right="259" w:bottom="0" w:gutter="0" w:footer="0" w:header="0"/>
          <w:type w:val="continuous"/>
        </w:sectPr>
      </w:pPr>
    </w:p>
    <w:bookmarkStart w:id="14" w:name="page15"/>
    <w:bookmarkEnd w:id="14"/>
    <w:p>
      <w:pPr>
        <w:jc w:val="center"/>
        <w:ind w:right="-1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SEGMENT INFORMATION </w:t>
      </w:r>
      <w:r>
        <w:rPr>
          <w:rFonts w:ascii="Arial" w:cs="Arial" w:eastAsia="Arial" w:hAnsi="Arial"/>
          <w:sz w:val="18"/>
          <w:szCs w:val="18"/>
          <w:color w:val="auto"/>
        </w:rPr>
        <w:t>(Continued)</w:t>
      </w:r>
    </w:p>
    <w:p>
      <w:pPr>
        <w:sectPr>
          <w:pgSz w:w="11900" w:h="16838" w:orient="portrait"/>
          <w:cols w:equalWidth="0" w:num="1">
            <w:col w:w="11260"/>
          </w:cols>
          <w:pgMar w:left="240" w:top="517" w:right="399" w:bottom="0" w:gutter="0" w:footer="0" w:header="0"/>
        </w:sectPr>
      </w:pPr>
    </w:p>
    <w:p>
      <w:pPr>
        <w:spacing w:after="0" w:line="200" w:lineRule="exact"/>
        <w:rPr>
          <w:sz w:val="20"/>
          <w:szCs w:val="20"/>
          <w:color w:val="auto"/>
        </w:rPr>
      </w:pPr>
    </w:p>
    <w:p>
      <w:pPr>
        <w:spacing w:after="0" w:line="328"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8"/>
          </w:tcPr>
          <w:p>
            <w:pPr>
              <w:jc w:val="center"/>
              <w:ind w:right="28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380" w:type="dxa"/>
            <w:vAlign w:val="bottom"/>
            <w:gridSpan w:val="7"/>
          </w:tcPr>
          <w:p>
            <w:pPr>
              <w:jc w:val="center"/>
              <w:ind w:left="32"/>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left="5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1040" w:type="dxa"/>
            <w:vAlign w:val="bottom"/>
            <w:gridSpan w:val="4"/>
          </w:tcPr>
          <w:p>
            <w:pPr>
              <w:jc w:val="right"/>
              <w:ind w:right="46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3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2011</w:t>
            </w: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320" w:space="720"/>
            <w:col w:w="6220"/>
          </w:cols>
          <w:pgMar w:left="240" w:top="517" w:right="39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w w:val="89"/>
              </w:rPr>
              <w:t>$ 6,503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color w:val="auto"/>
                <w:w w:val="93"/>
              </w:rPr>
              <w:t>$ 6,667</w:t>
            </w:r>
          </w:p>
        </w:tc>
        <w:tc>
          <w:tcPr>
            <w:tcW w:w="220" w:type="dxa"/>
            <w:vAlign w:val="bottom"/>
          </w:tcPr>
          <w:p>
            <w:pPr>
              <w:spacing w:after="0"/>
              <w:rPr>
                <w:sz w:val="19"/>
                <w:szCs w:val="19"/>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86"/>
              </w:rPr>
              <w:t>$12,614</w:t>
            </w:r>
          </w:p>
        </w:tc>
        <w:tc>
          <w:tcPr>
            <w:tcW w:w="220" w:type="dxa"/>
            <w:vAlign w:val="bottom"/>
          </w:tcPr>
          <w:p>
            <w:pPr>
              <w:spacing w:after="0"/>
              <w:rPr>
                <w:sz w:val="19"/>
                <w:szCs w:val="19"/>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w w:val="86"/>
              </w:rPr>
              <w:t>$12,021</w:t>
            </w:r>
          </w:p>
        </w:tc>
        <w:tc>
          <w:tcPr>
            <w:tcW w:w="40" w:type="dxa"/>
            <w:vAlign w:val="bottom"/>
          </w:tcPr>
          <w:p>
            <w:pPr>
              <w:spacing w:after="0"/>
              <w:rPr>
                <w:sz w:val="19"/>
                <w:szCs w:val="19"/>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3,086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5,097</w:t>
            </w:r>
          </w:p>
        </w:tc>
        <w:tc>
          <w:tcPr>
            <w:tcW w:w="22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10,127</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3,987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2,040</w:t>
            </w:r>
          </w:p>
        </w:tc>
        <w:tc>
          <w:tcPr>
            <w:tcW w:w="22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6,103</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3,386</w:t>
            </w:r>
          </w:p>
        </w:tc>
        <w:tc>
          <w:tcPr>
            <w:tcW w:w="4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Intersegment sales</w:t>
            </w:r>
          </w:p>
        </w:tc>
        <w:tc>
          <w:tcPr>
            <w:tcW w:w="180" w:type="dxa"/>
            <w:vAlign w:val="bottom"/>
            <w:gridSpan w:val="3"/>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3"/>
              </w:rPr>
              <w:t>(30)</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5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13,576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13,800</w:t>
            </w:r>
          </w:p>
        </w:tc>
        <w:tc>
          <w:tcPr>
            <w:tcW w:w="220" w:type="dxa"/>
            <w:vAlign w:val="bottom"/>
          </w:tcPr>
          <w:p>
            <w:pPr>
              <w:spacing w:after="0"/>
              <w:rPr>
                <w:sz w:val="24"/>
                <w:szCs w:val="24"/>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24,307</w:t>
            </w:r>
          </w:p>
        </w:tc>
        <w:tc>
          <w:tcPr>
            <w:tcW w:w="220" w:type="dxa"/>
            <w:vAlign w:val="bottom"/>
          </w:tcPr>
          <w:p>
            <w:pPr>
              <w:spacing w:after="0"/>
              <w:rPr>
                <w:sz w:val="24"/>
                <w:szCs w:val="24"/>
                <w:color w:val="auto"/>
              </w:rPr>
            </w:pPr>
          </w:p>
        </w:tc>
        <w:tc>
          <w:tcPr>
            <w:tcW w:w="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25,504</w:t>
            </w:r>
          </w:p>
        </w:tc>
        <w:tc>
          <w:tcPr>
            <w:tcW w:w="4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320" w:type="dxa"/>
            <w:vAlign w:val="bottom"/>
            <w:gridSpan w:val="4"/>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r>
      <w:tr>
        <w:trPr>
          <w:trHeight w:val="439"/>
        </w:trPr>
        <w:tc>
          <w:tcPr>
            <w:tcW w:w="4460" w:type="dxa"/>
            <w:vAlign w:val="bottom"/>
          </w:tcPr>
          <w:p>
            <w:pPr>
              <w:spacing w:after="0"/>
              <w:rPr>
                <w:sz w:val="24"/>
                <w:szCs w:val="24"/>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3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w w:val="99"/>
              </w:rPr>
              <w:t>Earnings (loss) before income tax expense (benefit):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$1,830</w:t>
            </w:r>
          </w:p>
        </w:tc>
        <w:tc>
          <w:tcPr>
            <w:tcW w:w="22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$1,372</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$2,593</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780" w:type="dxa"/>
            <w:vAlign w:val="bottom"/>
            <w:gridSpan w:val="7"/>
          </w:tcPr>
          <w:p>
            <w:pPr>
              <w:jc w:val="right"/>
              <w:ind w:right="18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591</w:t>
            </w:r>
          </w:p>
        </w:tc>
        <w:tc>
          <w:tcPr>
            <w:tcW w:w="220" w:type="dxa"/>
            <w:vAlign w:val="bottom"/>
          </w:tcPr>
          <w:p>
            <w:pPr>
              <w:spacing w:after="0"/>
              <w:rPr>
                <w:sz w:val="24"/>
                <w:szCs w:val="24"/>
                <w:color w:val="auto"/>
              </w:rPr>
            </w:pPr>
          </w:p>
        </w:tc>
        <w:tc>
          <w:tcPr>
            <w:tcW w:w="800" w:type="dxa"/>
            <w:vAlign w:val="bottom"/>
            <w:gridSpan w:val="6"/>
          </w:tcPr>
          <w:p>
            <w:pPr>
              <w:jc w:val="right"/>
              <w:ind w:right="180"/>
              <w:spacing w:after="0"/>
              <w:rPr>
                <w:sz w:val="20"/>
                <w:szCs w:val="20"/>
                <w:color w:val="auto"/>
              </w:rPr>
            </w:pPr>
            <w:r>
              <w:rPr>
                <w:rFonts w:ascii="Arial" w:cs="Arial" w:eastAsia="Arial" w:hAnsi="Arial"/>
                <w:sz w:val="18"/>
                <w:szCs w:val="18"/>
                <w:color w:val="auto"/>
              </w:rPr>
              <w:t>(932)</w:t>
            </w:r>
          </w:p>
        </w:tc>
        <w:tc>
          <w:tcPr>
            <w:tcW w:w="620" w:type="dxa"/>
            <w:vAlign w:val="bottom"/>
            <w:gridSpan w:val="7"/>
          </w:tcPr>
          <w:p>
            <w:pPr>
              <w:jc w:val="right"/>
              <w:ind w:right="40"/>
              <w:spacing w:after="0"/>
              <w:rPr>
                <w:sz w:val="20"/>
                <w:szCs w:val="20"/>
                <w:color w:val="auto"/>
              </w:rPr>
            </w:pPr>
            <w:r>
              <w:rPr>
                <w:rFonts w:ascii="Arial" w:cs="Arial" w:eastAsia="Arial" w:hAnsi="Arial"/>
                <w:sz w:val="18"/>
                <w:szCs w:val="18"/>
                <w:color w:val="auto"/>
              </w:rPr>
              <w:t>1,112</w:t>
            </w: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525</w:t>
            </w:r>
          </w:p>
        </w:tc>
        <w:tc>
          <w:tcPr>
            <w:tcW w:w="22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680</w:t>
            </w:r>
          </w:p>
        </w:tc>
        <w:tc>
          <w:tcPr>
            <w:tcW w:w="4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gridSpan w:val="2"/>
          </w:tcPr>
          <w:p>
            <w:pPr>
              <w:spacing w:after="0"/>
              <w:rPr>
                <w:sz w:val="24"/>
                <w:szCs w:val="24"/>
                <w:color w:val="auto"/>
              </w:rPr>
            </w:pPr>
          </w:p>
        </w:tc>
        <w:tc>
          <w:tcPr>
            <w:tcW w:w="680" w:type="dxa"/>
            <w:vAlign w:val="bottom"/>
            <w:gridSpan w:val="5"/>
          </w:tcPr>
          <w:p>
            <w:pPr>
              <w:jc w:val="right"/>
              <w:ind w:right="180"/>
              <w:spacing w:after="0"/>
              <w:rPr>
                <w:sz w:val="20"/>
                <w:szCs w:val="20"/>
                <w:color w:val="auto"/>
              </w:rPr>
            </w:pPr>
            <w:r>
              <w:rPr>
                <w:rFonts w:ascii="Arial" w:cs="Arial" w:eastAsia="Arial" w:hAnsi="Arial"/>
                <w:sz w:val="18"/>
                <w:szCs w:val="18"/>
                <w:color w:val="auto"/>
              </w:rPr>
              <w:t>(55)</w:t>
            </w:r>
          </w:p>
        </w:tc>
        <w:tc>
          <w:tcPr>
            <w:tcW w:w="800" w:type="dxa"/>
            <w:vAlign w:val="bottom"/>
            <w:gridSpan w:val="8"/>
          </w:tcPr>
          <w:p>
            <w:pPr>
              <w:jc w:val="right"/>
              <w:ind w:right="180"/>
              <w:spacing w:after="0"/>
              <w:rPr>
                <w:sz w:val="20"/>
                <w:szCs w:val="20"/>
                <w:color w:val="auto"/>
              </w:rPr>
            </w:pPr>
            <w:r>
              <w:rPr>
                <w:rFonts w:ascii="Arial" w:cs="Arial" w:eastAsia="Arial" w:hAnsi="Arial"/>
                <w:sz w:val="18"/>
                <w:szCs w:val="18"/>
                <w:color w:val="auto"/>
              </w:rPr>
              <w:t>(213)</w:t>
            </w:r>
          </w:p>
        </w:tc>
        <w:tc>
          <w:tcPr>
            <w:tcW w:w="800" w:type="dxa"/>
            <w:vAlign w:val="bottom"/>
            <w:gridSpan w:val="6"/>
          </w:tcPr>
          <w:p>
            <w:pPr>
              <w:jc w:val="right"/>
              <w:ind w:right="180"/>
              <w:spacing w:after="0"/>
              <w:rPr>
                <w:sz w:val="20"/>
                <w:szCs w:val="20"/>
                <w:color w:val="auto"/>
              </w:rPr>
            </w:pPr>
            <w:r>
              <w:rPr>
                <w:rFonts w:ascii="Arial" w:cs="Arial" w:eastAsia="Arial" w:hAnsi="Arial"/>
                <w:sz w:val="18"/>
                <w:szCs w:val="18"/>
                <w:color w:val="auto"/>
              </w:rPr>
              <w:t>(256)</w:t>
            </w:r>
          </w:p>
        </w:tc>
        <w:tc>
          <w:tcPr>
            <w:tcW w:w="620" w:type="dxa"/>
            <w:vAlign w:val="bottom"/>
            <w:gridSpan w:val="7"/>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w:t>
            </w:r>
          </w:p>
        </w:tc>
        <w:tc>
          <w:tcPr>
            <w:tcW w:w="20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2,733</w:t>
            </w:r>
          </w:p>
        </w:tc>
        <w:tc>
          <w:tcPr>
            <w:tcW w:w="22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1,923</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4,050</w:t>
            </w:r>
          </w:p>
        </w:tc>
        <w:tc>
          <w:tcPr>
            <w:tcW w:w="40" w:type="dxa"/>
            <w:vAlign w:val="bottom"/>
          </w:tcPr>
          <w:p>
            <w:pPr>
              <w:spacing w:after="0"/>
              <w:rPr>
                <w:sz w:val="24"/>
                <w:szCs w:val="24"/>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  725</w:t>
            </w:r>
          </w:p>
        </w:tc>
        <w:tc>
          <w:tcPr>
            <w:tcW w:w="20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$1,789</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960</w:t>
            </w:r>
          </w:p>
        </w:tc>
        <w:tc>
          <w:tcPr>
            <w:tcW w:w="220" w:type="dxa"/>
            <w:vAlign w:val="bottom"/>
          </w:tcPr>
          <w:p>
            <w:pPr>
              <w:spacing w:after="0"/>
              <w:rPr>
                <w:sz w:val="24"/>
                <w:szCs w:val="24"/>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$2,534</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780" w:type="dxa"/>
            <w:vAlign w:val="bottom"/>
            <w:gridSpan w:val="7"/>
          </w:tcPr>
          <w:p>
            <w:pPr>
              <w:jc w:val="right"/>
              <w:ind w:right="18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554</w:t>
            </w:r>
          </w:p>
        </w:tc>
        <w:tc>
          <w:tcPr>
            <w:tcW w:w="220" w:type="dxa"/>
            <w:vAlign w:val="bottom"/>
          </w:tcPr>
          <w:p>
            <w:pPr>
              <w:spacing w:after="0"/>
              <w:rPr>
                <w:sz w:val="24"/>
                <w:szCs w:val="24"/>
                <w:color w:val="auto"/>
              </w:rPr>
            </w:pPr>
          </w:p>
        </w:tc>
        <w:tc>
          <w:tcPr>
            <w:tcW w:w="800" w:type="dxa"/>
            <w:vAlign w:val="bottom"/>
            <w:gridSpan w:val="6"/>
          </w:tcPr>
          <w:p>
            <w:pPr>
              <w:jc w:val="right"/>
              <w:ind w:right="180"/>
              <w:spacing w:after="0"/>
              <w:rPr>
                <w:sz w:val="20"/>
                <w:szCs w:val="20"/>
                <w:color w:val="auto"/>
              </w:rPr>
            </w:pPr>
            <w:r>
              <w:rPr>
                <w:rFonts w:ascii="Arial" w:cs="Arial" w:eastAsia="Arial" w:hAnsi="Arial"/>
                <w:sz w:val="18"/>
                <w:szCs w:val="18"/>
                <w:color w:val="auto"/>
              </w:rPr>
              <w:t>(581)</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1,027</w:t>
            </w:r>
          </w:p>
        </w:tc>
        <w:tc>
          <w:tcPr>
            <w:tcW w:w="40" w:type="dxa"/>
            <w:vAlign w:val="bottom"/>
          </w:tcPr>
          <w:p>
            <w:pPr>
              <w:spacing w:after="0"/>
              <w:rPr>
                <w:sz w:val="24"/>
                <w:szCs w:val="24"/>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886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510</w:t>
            </w:r>
          </w:p>
        </w:tc>
        <w:tc>
          <w:tcPr>
            <w:tcW w:w="22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660</w:t>
            </w:r>
          </w:p>
        </w:tc>
        <w:tc>
          <w:tcPr>
            <w:tcW w:w="40" w:type="dxa"/>
            <w:vAlign w:val="bottom"/>
          </w:tcPr>
          <w:p>
            <w:pPr>
              <w:spacing w:after="0"/>
              <w:rPr>
                <w:sz w:val="24"/>
                <w:szCs w:val="24"/>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180" w:type="dxa"/>
            <w:vAlign w:val="bottom"/>
            <w:gridSpan w:val="3"/>
          </w:tcPr>
          <w:p>
            <w:pPr>
              <w:spacing w:after="0"/>
              <w:rPr>
                <w:sz w:val="24"/>
                <w:szCs w:val="24"/>
                <w:color w:val="auto"/>
              </w:rPr>
            </w:pPr>
          </w:p>
        </w:tc>
        <w:tc>
          <w:tcPr>
            <w:tcW w:w="600" w:type="dxa"/>
            <w:vAlign w:val="bottom"/>
            <w:gridSpan w:val="4"/>
          </w:tcPr>
          <w:p>
            <w:pPr>
              <w:jc w:val="right"/>
              <w:ind w:right="180"/>
              <w:spacing w:after="0"/>
              <w:rPr>
                <w:sz w:val="20"/>
                <w:szCs w:val="20"/>
                <w:color w:val="auto"/>
              </w:rPr>
            </w:pPr>
            <w:r>
              <w:rPr>
                <w:rFonts w:ascii="Arial" w:cs="Arial" w:eastAsia="Arial" w:hAnsi="Arial"/>
                <w:sz w:val="18"/>
                <w:szCs w:val="18"/>
                <w:color w:val="auto"/>
              </w:rPr>
              <w:t>(41)</w:t>
            </w:r>
          </w:p>
        </w:tc>
        <w:tc>
          <w:tcPr>
            <w:tcW w:w="800" w:type="dxa"/>
            <w:vAlign w:val="bottom"/>
            <w:gridSpan w:val="8"/>
          </w:tcPr>
          <w:p>
            <w:pPr>
              <w:jc w:val="right"/>
              <w:ind w:right="180"/>
              <w:spacing w:after="0"/>
              <w:rPr>
                <w:sz w:val="20"/>
                <w:szCs w:val="20"/>
                <w:color w:val="auto"/>
              </w:rPr>
            </w:pPr>
            <w:r>
              <w:rPr>
                <w:rFonts w:ascii="Arial" w:cs="Arial" w:eastAsia="Arial" w:hAnsi="Arial"/>
                <w:sz w:val="18"/>
                <w:szCs w:val="18"/>
                <w:color w:val="auto"/>
              </w:rPr>
              <w:t>(198)</w:t>
            </w:r>
          </w:p>
        </w:tc>
        <w:tc>
          <w:tcPr>
            <w:tcW w:w="800" w:type="dxa"/>
            <w:vAlign w:val="bottom"/>
            <w:gridSpan w:val="6"/>
          </w:tcPr>
          <w:p>
            <w:pPr>
              <w:jc w:val="right"/>
              <w:ind w:right="180"/>
              <w:spacing w:after="0"/>
              <w:rPr>
                <w:sz w:val="20"/>
                <w:szCs w:val="20"/>
                <w:color w:val="auto"/>
              </w:rPr>
            </w:pPr>
            <w:r>
              <w:rPr>
                <w:rFonts w:ascii="Arial" w:cs="Arial" w:eastAsia="Arial" w:hAnsi="Arial"/>
                <w:sz w:val="18"/>
                <w:szCs w:val="18"/>
                <w:color w:val="auto"/>
              </w:rPr>
              <w:t>(207)</w:t>
            </w:r>
          </w:p>
        </w:tc>
        <w:tc>
          <w:tcPr>
            <w:tcW w:w="620" w:type="dxa"/>
            <w:vAlign w:val="bottom"/>
            <w:gridSpan w:val="7"/>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2,655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1,291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3,912</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60"/>
          </w:cols>
          <w:pgMar w:left="240" w:top="517" w:right="399" w:bottom="0" w:gutter="0" w:footer="0" w:header="0"/>
          <w:type w:val="continuous"/>
        </w:sectPr>
      </w:pPr>
    </w:p>
    <w:p>
      <w:pPr>
        <w:spacing w:after="0" w:line="237"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i w:val="1"/>
          <w:iCs w:val="1"/>
          <w:color w:val="auto"/>
        </w:rPr>
        <w:t>June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4"/>
          <w:szCs w:val="14"/>
          <w:b w:val="1"/>
          <w:bCs w:val="1"/>
          <w:i w:val="1"/>
          <w:iCs w:val="1"/>
          <w:color w:val="auto"/>
        </w:rPr>
        <w:t>2012</w:t>
      </w:r>
      <w:r>
        <w:rPr>
          <w:sz w:val="20"/>
          <w:szCs w:val="20"/>
          <w:color w:val="auto"/>
        </w:rPr>
        <w:tab/>
      </w:r>
      <w:r>
        <w:rPr>
          <w:rFonts w:ascii="Arial" w:cs="Arial" w:eastAsia="Arial" w:hAnsi="Arial"/>
          <w:sz w:val="14"/>
          <w:szCs w:val="14"/>
          <w:b w:val="1"/>
          <w:bCs w:val="1"/>
          <w:i w:val="1"/>
          <w:i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8420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5880" w:space="720"/>
            <w:col w:w="4660"/>
          </w:cols>
          <w:pgMar w:left="240" w:top="517" w:right="399" w:bottom="0" w:gutter="0" w:footer="0" w:header="0"/>
          <w:type w:val="continuous"/>
        </w:sectPr>
      </w:pPr>
    </w:p>
    <w:tbl>
      <w:tblPr>
        <w:tblLayout w:type="fixed"/>
        <w:tblInd w:w="560" w:type="dxa"/>
        <w:tblCellMar>
          <w:top w:w="0" w:type="dxa"/>
          <w:left w:w="0" w:type="dxa"/>
          <w:bottom w:w="0" w:type="dxa"/>
          <w:right w:w="0" w:type="dxa"/>
        </w:tblCellMar>
      </w:tblP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$21,234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$20,030</w:t>
            </w:r>
          </w:p>
        </w:tc>
      </w:tr>
      <w:tr>
        <w:trPr>
          <w:trHeight w:val="459"/>
        </w:trPr>
        <w:tc>
          <w:tcPr>
            <w:tcW w:w="604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7,024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8,240</w:t>
            </w:r>
          </w:p>
        </w:tc>
      </w:tr>
      <w:tr>
        <w:trPr>
          <w:trHeight w:val="421"/>
        </w:trPr>
        <w:tc>
          <w:tcPr>
            <w:tcW w:w="6040" w:type="dxa"/>
            <w:vAlign w:val="bottom"/>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260" w:type="dxa"/>
            <w:vAlign w:val="bottom"/>
            <w:gridSpan w:val="2"/>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r>
      <w:tr>
        <w:trPr>
          <w:trHeight w:val="439"/>
        </w:trPr>
        <w:tc>
          <w:tcPr>
            <w:tcW w:w="604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33,767</w:t>
            </w:r>
          </w:p>
        </w:tc>
        <w:tc>
          <w:tcPr>
            <w:tcW w:w="22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31,237</w:t>
            </w:r>
          </w:p>
        </w:tc>
      </w:tr>
    </w:tbl>
    <w:p>
      <w:pPr>
        <w:spacing w:after="0" w:line="39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ectPr>
          <w:pgSz w:w="11900" w:h="16838" w:orient="portrait"/>
          <w:cols w:equalWidth="0" w:num="1">
            <w:col w:w="11260"/>
          </w:cols>
          <w:pgMar w:left="240" w:top="517" w:right="399"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8"/>
          </w:tcPr>
          <w:p>
            <w:pPr>
              <w:jc w:val="center"/>
              <w:ind w:right="48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200" w:type="dxa"/>
            <w:vAlign w:val="bottom"/>
            <w:gridSpan w:val="5"/>
          </w:tcPr>
          <w:p>
            <w:pPr>
              <w:jc w:val="center"/>
              <w:ind w:right="12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3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18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460" w:type="dxa"/>
            <w:vAlign w:val="bottom"/>
          </w:tcPr>
          <w:p>
            <w:pPr>
              <w:spacing w:after="0"/>
              <w:rPr>
                <w:sz w:val="13"/>
                <w:szCs w:val="13"/>
                <w:color w:val="auto"/>
              </w:rPr>
            </w:pPr>
          </w:p>
        </w:tc>
        <w:tc>
          <w:tcPr>
            <w:tcW w:w="76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940" w:type="dxa"/>
            <w:vAlign w:val="bottom"/>
            <w:gridSpan w:val="3"/>
          </w:tcPr>
          <w:p>
            <w:pPr>
              <w:jc w:val="right"/>
              <w:ind w:right="540"/>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2011</w:t>
            </w: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ectPr>
          <w:pgSz w:w="11900" w:h="16838" w:orient="portrait"/>
          <w:cols w:equalWidth="0" w:num="2">
            <w:col w:w="4360" w:space="720"/>
            <w:col w:w="6180"/>
          </w:cols>
          <w:pgMar w:left="240" w:top="517" w:right="399" w:bottom="0" w:gutter="0" w:footer="0" w:header="0"/>
          <w:type w:val="continuous"/>
        </w:sectPr>
      </w:pPr>
    </w:p>
    <w:bookmarkStart w:id="15" w:name="page16"/>
    <w:bookmarkEnd w:id="15"/>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U.S.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3,733</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$ 4,796</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9"/>
              </w:rPr>
              <w:t>$ 7,929</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$ 9,023</w:t>
            </w:r>
          </w:p>
        </w:tc>
        <w:tc>
          <w:tcPr>
            <w:tcW w:w="0" w:type="dxa"/>
            <w:vAlign w:val="bottom"/>
          </w:tcPr>
          <w:p>
            <w:pPr>
              <w:spacing w:after="0"/>
              <w:rPr>
                <w:sz w:val="1"/>
                <w:szCs w:val="1"/>
                <w:color w:val="auto"/>
              </w:rPr>
            </w:pPr>
          </w:p>
        </w:tc>
      </w:tr>
      <w:tr>
        <w:trPr>
          <w:trHeight w:val="421"/>
        </w:trPr>
        <w:tc>
          <w:tcPr>
            <w:tcW w:w="2900" w:type="dxa"/>
            <w:vAlign w:val="bottom"/>
          </w:tcPr>
          <w:p>
            <w:pPr>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w:t>
            </w:r>
          </w:p>
        </w:tc>
        <w:tc>
          <w:tcPr>
            <w:tcW w:w="2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1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16,378</w:t>
            </w:r>
          </w:p>
        </w:tc>
        <w:tc>
          <w:tcPr>
            <w:tcW w:w="280" w:type="dxa"/>
            <w:vAlign w:val="bottom"/>
            <w:gridSpan w:val="3"/>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16,481</w:t>
            </w:r>
          </w:p>
        </w:tc>
        <w:tc>
          <w:tcPr>
            <w:tcW w:w="0" w:type="dxa"/>
            <w:vAlign w:val="bottom"/>
          </w:tcPr>
          <w:p>
            <w:pPr>
              <w:spacing w:after="0"/>
              <w:rPr>
                <w:sz w:val="1"/>
                <w:szCs w:val="1"/>
                <w:color w:val="auto"/>
              </w:rPr>
            </w:pPr>
          </w:p>
        </w:tc>
      </w:tr>
      <w:tr>
        <w:trPr>
          <w:trHeight w:val="439"/>
        </w:trPr>
        <w:tc>
          <w:tcPr>
            <w:tcW w:w="29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13,576</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13,800</w:t>
            </w: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24,307</w:t>
            </w:r>
          </w:p>
        </w:tc>
        <w:tc>
          <w:tcPr>
            <w:tcW w:w="8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25,504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center"/>
              <w:ind w:right="60"/>
              <w:spacing w:after="0"/>
              <w:rPr>
                <w:sz w:val="20"/>
                <w:szCs w:val="20"/>
                <w:color w:val="auto"/>
              </w:rPr>
            </w:pPr>
            <w:r>
              <w:rPr>
                <w:rFonts w:ascii="Arial" w:cs="Arial" w:eastAsia="Arial" w:hAnsi="Arial"/>
                <w:sz w:val="14"/>
                <w:szCs w:val="14"/>
                <w:b w:val="1"/>
                <w:bCs w:val="1"/>
                <w:i w:val="1"/>
                <w:iCs w:val="1"/>
                <w:color w:val="auto"/>
                <w:w w:val="85"/>
              </w:rPr>
              <w:t>June 30,</w:t>
            </w:r>
          </w:p>
        </w:tc>
        <w:tc>
          <w:tcPr>
            <w:tcW w:w="200" w:type="dxa"/>
            <w:vAlign w:val="bottom"/>
          </w:tcPr>
          <w:p>
            <w:pPr>
              <w:spacing w:after="0"/>
              <w:rPr>
                <w:sz w:val="24"/>
                <w:szCs w:val="24"/>
                <w:color w:val="auto"/>
              </w:rPr>
            </w:pPr>
          </w:p>
        </w:tc>
        <w:tc>
          <w:tcPr>
            <w:tcW w:w="620" w:type="dxa"/>
            <w:vAlign w:val="bottom"/>
            <w:gridSpan w:val="5"/>
          </w:tcPr>
          <w:p>
            <w:pPr>
              <w:jc w:val="center"/>
              <w:ind w:right="80"/>
              <w:spacing w:after="0"/>
              <w:rPr>
                <w:sz w:val="20"/>
                <w:szCs w:val="20"/>
                <w:color w:val="auto"/>
              </w:rPr>
            </w:pPr>
            <w:r>
              <w:rPr>
                <w:rFonts w:ascii="Arial" w:cs="Arial" w:eastAsia="Arial" w:hAnsi="Arial"/>
                <w:sz w:val="14"/>
                <w:szCs w:val="14"/>
                <w:b w:val="1"/>
                <w:bCs w:val="1"/>
                <w:i w:val="1"/>
                <w:iCs w:val="1"/>
                <w:color w:val="auto"/>
                <w:w w:val="86"/>
              </w:rPr>
              <w:t>Dec. 31,</w:t>
            </w:r>
          </w:p>
        </w:tc>
        <w:tc>
          <w:tcPr>
            <w:tcW w:w="0" w:type="dxa"/>
            <w:vAlign w:val="bottom"/>
          </w:tcPr>
          <w:p>
            <w:pPr>
              <w:spacing w:after="0"/>
              <w:rPr>
                <w:sz w:val="1"/>
                <w:szCs w:val="1"/>
                <w:color w:val="auto"/>
              </w:rPr>
            </w:pPr>
          </w:p>
        </w:tc>
      </w:tr>
      <w:tr>
        <w:trPr>
          <w:trHeight w:val="163"/>
        </w:trPr>
        <w:tc>
          <w:tcPr>
            <w:tcW w:w="29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4"/>
          </w:tcPr>
          <w:p>
            <w:pPr>
              <w:jc w:val="right"/>
              <w:ind w:right="32"/>
              <w:spacing w:after="0" w:line="143" w:lineRule="exact"/>
              <w:rPr>
                <w:sz w:val="20"/>
                <w:szCs w:val="20"/>
                <w:color w:val="auto"/>
              </w:rPr>
            </w:pPr>
            <w:r>
              <w:rPr>
                <w:rFonts w:ascii="Arial" w:cs="Arial" w:eastAsia="Arial" w:hAnsi="Arial"/>
                <w:sz w:val="14"/>
                <w:szCs w:val="14"/>
                <w:b w:val="1"/>
                <w:bCs w:val="1"/>
                <w:i w:val="1"/>
                <w:iCs w:val="1"/>
                <w:color w:val="auto"/>
              </w:rPr>
              <w:t>2012</w:t>
            </w:r>
          </w:p>
        </w:tc>
        <w:tc>
          <w:tcPr>
            <w:tcW w:w="80" w:type="dxa"/>
            <w:vAlign w:val="bottom"/>
          </w:tcPr>
          <w:p>
            <w:pPr>
              <w:spacing w:after="0"/>
              <w:rPr>
                <w:sz w:val="14"/>
                <w:szCs w:val="14"/>
                <w:color w:val="auto"/>
              </w:rPr>
            </w:pPr>
          </w:p>
        </w:tc>
        <w:tc>
          <w:tcPr>
            <w:tcW w:w="200" w:type="dxa"/>
            <w:vAlign w:val="bottom"/>
            <w:vMerge w:val="restart"/>
          </w:tcPr>
          <w:p>
            <w:pPr>
              <w:spacing w:after="0"/>
              <w:rPr>
                <w:sz w:val="14"/>
                <w:szCs w:val="14"/>
                <w:color w:val="auto"/>
              </w:rPr>
            </w:pPr>
          </w:p>
        </w:tc>
        <w:tc>
          <w:tcPr>
            <w:tcW w:w="520" w:type="dxa"/>
            <w:vAlign w:val="bottom"/>
            <w:tcBorders>
              <w:bottom w:val="single" w:sz="8" w:color="auto"/>
            </w:tcBorders>
            <w:gridSpan w:val="4"/>
          </w:tcPr>
          <w:p>
            <w:pPr>
              <w:jc w:val="right"/>
              <w:ind w:right="32"/>
              <w:spacing w:after="0" w:line="143" w:lineRule="exact"/>
              <w:rPr>
                <w:sz w:val="20"/>
                <w:szCs w:val="20"/>
                <w:color w:val="auto"/>
              </w:rPr>
            </w:pPr>
            <w:r>
              <w:rPr>
                <w:rFonts w:ascii="Arial" w:cs="Arial" w:eastAsia="Arial" w:hAnsi="Arial"/>
                <w:sz w:val="14"/>
                <w:szCs w:val="14"/>
                <w:b w:val="1"/>
                <w:bCs w:val="1"/>
                <w:i w:val="1"/>
                <w:iCs w:val="1"/>
                <w:color w:val="auto"/>
              </w:rPr>
              <w:t>2011</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90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gridSpan w:val="3"/>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gridSpan w:val="3"/>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U.S.</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$1,031</w:t>
            </w: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  836</w:t>
            </w:r>
          </w:p>
        </w:tc>
        <w:tc>
          <w:tcPr>
            <w:tcW w:w="0" w:type="dxa"/>
            <w:vAlign w:val="bottom"/>
          </w:tcPr>
          <w:p>
            <w:pPr>
              <w:spacing w:after="0"/>
              <w:rPr>
                <w:sz w:val="1"/>
                <w:szCs w:val="1"/>
                <w:color w:val="auto"/>
              </w:rPr>
            </w:pPr>
          </w:p>
        </w:tc>
      </w:tr>
      <w:tr>
        <w:trPr>
          <w:trHeight w:val="421"/>
        </w:trPr>
        <w:tc>
          <w:tcPr>
            <w:tcW w:w="2900" w:type="dxa"/>
            <w:vAlign w:val="bottom"/>
          </w:tcPr>
          <w:p>
            <w:pPr>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w:t>
            </w:r>
          </w:p>
        </w:tc>
        <w:tc>
          <w:tcPr>
            <w:tcW w:w="380" w:type="dxa"/>
            <w:vAlign w:val="bottom"/>
            <w:gridSpan w:val="4"/>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439"/>
        </w:trPr>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1,230</w:t>
            </w:r>
          </w:p>
        </w:tc>
        <w:tc>
          <w:tcPr>
            <w:tcW w:w="8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Annual Report on Form 10-K for the year ended December 31, 2011 filed with the Securities and Exchange Commission on March 30, 2012 (the "2011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2011 Form 10-K. Material changes to such risk factors may be reported in subsequent Quarterly Reports on Form 10-Q in Part II, Item 1A. There have been no such changes from the risk factors set forth in our 2011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consumer electronics, defense/aerospace and telecommunications industries. We believe that these industries usually are less cyclical than the ATE industry.</w:t>
      </w:r>
    </w:p>
    <w:p>
      <w:pPr>
        <w:spacing w:after="0" w:line="174" w:lineRule="exact"/>
        <w:rPr>
          <w:sz w:val="20"/>
          <w:szCs w:val="20"/>
          <w:color w:val="auto"/>
        </w:rPr>
      </w:pPr>
    </w:p>
    <w:p>
      <w:pPr>
        <w:ind w:left="540" w:right="180"/>
        <w:spacing w:after="0" w:line="294"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20"/>
          </w:cols>
          <w:pgMar w:left="240" w:top="131"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and (iv) customer supply line management groups demanding lower prices and spreading purchases across multiple vendors.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ectPr>
          <w:pgSz w:w="11900" w:h="16838" w:orient="portrait"/>
          <w:cols w:equalWidth="0" w:num="1">
            <w:col w:w="11380"/>
          </w:cols>
          <w:pgMar w:left="240" w:top="34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000's)</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i w:val="1"/>
                <w:iCs w:val="1"/>
                <w:color w:val="auto"/>
                <w:w w:val="93"/>
              </w:rPr>
              <w:t>Three Months Ended</w:t>
            </w:r>
          </w:p>
        </w:tc>
        <w:tc>
          <w:tcPr>
            <w:tcW w:w="460" w:type="dxa"/>
            <w:vAlign w:val="bottom"/>
            <w:gridSpan w:val="3"/>
          </w:tcPr>
          <w:p>
            <w:pPr>
              <w:spacing w:after="0"/>
              <w:rPr>
                <w:sz w:val="19"/>
                <w:szCs w:val="19"/>
                <w:color w:val="auto"/>
              </w:rPr>
            </w:pPr>
          </w:p>
        </w:tc>
        <w:tc>
          <w:tcPr>
            <w:tcW w:w="1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223"/>
        </w:trPr>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i w:val="1"/>
                <w:iCs w:val="1"/>
                <w:color w:val="auto"/>
              </w:rPr>
              <w:t>June 30,</w:t>
            </w:r>
          </w:p>
        </w:tc>
        <w:tc>
          <w:tcPr>
            <w:tcW w:w="220" w:type="dxa"/>
            <w:vAlign w:val="bottom"/>
          </w:tcPr>
          <w:p>
            <w:pPr>
              <w:spacing w:after="0"/>
              <w:rPr>
                <w:sz w:val="19"/>
                <w:szCs w:val="19"/>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i w:val="1"/>
                <w:iCs w:val="1"/>
                <w:color w:val="auto"/>
                <w:w w:val="89"/>
              </w:rPr>
              <w:t>March 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i w:val="1"/>
                <w:iCs w:val="1"/>
                <w:color w:val="auto"/>
                <w:w w:val="85"/>
              </w:rPr>
              <w:t>June 30,</w:t>
            </w:r>
          </w:p>
        </w:tc>
        <w:tc>
          <w:tcPr>
            <w:tcW w:w="60" w:type="dxa"/>
            <w:vAlign w:val="bottom"/>
          </w:tcPr>
          <w:p>
            <w:pPr>
              <w:spacing w:after="0"/>
              <w:rPr>
                <w:sz w:val="19"/>
                <w:szCs w:val="19"/>
                <w:color w:val="auto"/>
              </w:rPr>
            </w:pPr>
          </w:p>
        </w:tc>
      </w:tr>
      <w:tr>
        <w:trPr>
          <w:trHeight w:val="156"/>
        </w:trPr>
        <w:tc>
          <w:tcPr>
            <w:tcW w:w="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2012</w:t>
            </w:r>
          </w:p>
        </w:tc>
        <w:tc>
          <w:tcPr>
            <w:tcW w:w="300" w:type="dxa"/>
            <w:vAlign w:val="bottom"/>
          </w:tcPr>
          <w:p>
            <w:pPr>
              <w:spacing w:after="0"/>
              <w:rPr>
                <w:sz w:val="13"/>
                <w:szCs w:val="13"/>
                <w:color w:val="auto"/>
              </w:rPr>
            </w:pPr>
          </w:p>
        </w:tc>
        <w:tc>
          <w:tcPr>
            <w:tcW w:w="58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w w:val="96"/>
              </w:rPr>
              <w:t>2012</w:t>
            </w:r>
          </w:p>
        </w:tc>
        <w:tc>
          <w:tcPr>
            <w:tcW w:w="62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i w:val="1"/>
                <w:iCs w:val="1"/>
                <w:color w:val="auto"/>
              </w:rPr>
              <w:t>2011</w:t>
            </w:r>
          </w:p>
        </w:tc>
      </w:tr>
      <w:tr>
        <w:trPr>
          <w:trHeight w:val="20"/>
        </w:trPr>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5540" w:space="720"/>
            <w:col w:w="5120"/>
          </w:cols>
          <w:pgMar w:left="240" w:top="341" w:right="27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76"/>
              </w:rPr>
              <w:t>$ 6,503</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$ 6,667</w:t>
            </w:r>
          </w:p>
        </w:tc>
        <w:tc>
          <w:tcPr>
            <w:tcW w:w="220" w:type="dxa"/>
            <w:vAlign w:val="bottom"/>
          </w:tcPr>
          <w:p>
            <w:pPr>
              <w:spacing w:after="0"/>
              <w:rPr>
                <w:sz w:val="19"/>
                <w:szCs w:val="19"/>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w w:val="89"/>
              </w:rPr>
              <w:t>$ 6,111</w:t>
            </w:r>
          </w:p>
        </w:tc>
        <w:tc>
          <w:tcPr>
            <w:tcW w:w="660" w:type="dxa"/>
            <w:vAlign w:val="bottom"/>
            <w:gridSpan w:val="4"/>
          </w:tcPr>
          <w:p>
            <w:pPr>
              <w:jc w:val="right"/>
              <w:ind w:right="200"/>
              <w:spacing w:after="0"/>
              <w:rPr>
                <w:sz w:val="20"/>
                <w:szCs w:val="20"/>
                <w:color w:val="auto"/>
              </w:rPr>
            </w:pPr>
            <w:r>
              <w:rPr>
                <w:rFonts w:ascii="Arial" w:cs="Arial" w:eastAsia="Arial" w:hAnsi="Arial"/>
                <w:sz w:val="16"/>
                <w:szCs w:val="16"/>
                <w:color w:val="auto"/>
                <w:w w:val="76"/>
              </w:rPr>
              <w:t>$12,614</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w w:val="76"/>
              </w:rPr>
              <w:t>$12,021</w:t>
            </w: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3,086</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5,097</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2,514</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5,600</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10,127</w:t>
            </w: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Electrical Products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3,987</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2,040</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2,116</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6,103</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3,386</w:t>
            </w:r>
          </w:p>
        </w:tc>
      </w:tr>
      <w:tr>
        <w:trPr>
          <w:trHeight w:val="421"/>
        </w:trPr>
        <w:tc>
          <w:tcPr>
            <w:tcW w:w="5080" w:type="dxa"/>
            <w:vAlign w:val="bottom"/>
          </w:tcPr>
          <w:p>
            <w:pPr>
              <w:spacing w:after="0"/>
              <w:rPr>
                <w:sz w:val="20"/>
                <w:szCs w:val="20"/>
                <w:color w:val="auto"/>
              </w:rPr>
            </w:pPr>
            <w:r>
              <w:rPr>
                <w:rFonts w:ascii="Arial" w:cs="Arial" w:eastAsia="Arial" w:hAnsi="Arial"/>
                <w:sz w:val="18"/>
                <w:szCs w:val="18"/>
                <w:color w:val="auto"/>
              </w:rPr>
              <w:t>Intersegment sales</w:t>
            </w:r>
          </w:p>
        </w:tc>
        <w:tc>
          <w:tcPr>
            <w:tcW w:w="1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8"/>
                <w:szCs w:val="18"/>
                <w:color w:val="auto"/>
              </w:rPr>
              <w:t>(4)</w:t>
            </w:r>
          </w:p>
        </w:tc>
        <w:tc>
          <w:tcPr>
            <w:tcW w:w="760" w:type="dxa"/>
            <w:vAlign w:val="bottom"/>
            <w:gridSpan w:val="6"/>
          </w:tcPr>
          <w:p>
            <w:pPr>
              <w:jc w:val="right"/>
              <w:ind w:right="160"/>
              <w:spacing w:after="0"/>
              <w:rPr>
                <w:sz w:val="20"/>
                <w:szCs w:val="20"/>
                <w:color w:val="auto"/>
              </w:rPr>
            </w:pPr>
            <w:r>
              <w:rPr>
                <w:rFonts w:ascii="Arial" w:cs="Arial" w:eastAsia="Arial" w:hAnsi="Arial"/>
                <w:sz w:val="18"/>
                <w:szCs w:val="18"/>
                <w:color w:val="auto"/>
              </w:rPr>
              <w:t>(10)</w:t>
            </w: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(10)</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08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13,576</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13,800</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10,731</w:t>
            </w:r>
          </w:p>
        </w:tc>
        <w:tc>
          <w:tcPr>
            <w:tcW w:w="660" w:type="dxa"/>
            <w:vAlign w:val="bottom"/>
            <w:gridSpan w:val="4"/>
          </w:tcPr>
          <w:p>
            <w:pPr>
              <w:jc w:val="right"/>
              <w:ind w:right="2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24,307</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25,504</w:t>
            </w:r>
          </w:p>
        </w:tc>
      </w:tr>
      <w:tr>
        <w:trPr>
          <w:trHeight w:val="262"/>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5"/>
          </w:tcPr>
          <w:p>
            <w:pPr>
              <w:jc w:val="right"/>
              <w:ind w:right="200"/>
              <w:spacing w:after="0"/>
              <w:rPr>
                <w:sz w:val="20"/>
                <w:szCs w:val="20"/>
                <w:color w:val="auto"/>
              </w:rPr>
            </w:pPr>
            <w:r>
              <w:rPr>
                <w:rFonts w:ascii="Arial" w:cs="Arial" w:eastAsia="Arial" w:hAnsi="Arial"/>
                <w:sz w:val="18"/>
                <w:szCs w:val="18"/>
                <w:color w:val="auto"/>
              </w:rPr>
              <w:t>$  -</w:t>
            </w: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$10</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  -</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10</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421"/>
        </w:trPr>
        <w:tc>
          <w:tcPr>
            <w:tcW w:w="5080" w:type="dxa"/>
            <w:vAlign w:val="bottom"/>
          </w:tcPr>
          <w:p>
            <w:pPr>
              <w:spacing w:after="0"/>
              <w:rPr>
                <w:sz w:val="20"/>
                <w:szCs w:val="20"/>
                <w:color w:val="auto"/>
              </w:rPr>
            </w:pPr>
            <w:r>
              <w:rPr>
                <w:rFonts w:ascii="Arial" w:cs="Arial" w:eastAsia="Arial" w:hAnsi="Arial"/>
                <w:sz w:val="18"/>
                <w:szCs w:val="18"/>
                <w:color w:val="auto"/>
              </w:rPr>
              <w:t>Electrical Products</w:t>
            </w:r>
          </w:p>
        </w:tc>
        <w:tc>
          <w:tcPr>
            <w:tcW w:w="300" w:type="dxa"/>
            <w:vAlign w:val="bottom"/>
            <w:gridSpan w:val="3"/>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5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08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$ 4</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w:t>
            </w:r>
          </w:p>
        </w:tc>
      </w:tr>
      <w:tr>
        <w:trPr>
          <w:trHeight w:val="255"/>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w w:val="94"/>
              </w:rPr>
              <w:t>Net revenues from unaffiliated customers (net of intersegment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sales):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76"/>
              </w:rPr>
              <w:t>$ 6,503</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$ 6,667</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w w:val="89"/>
              </w:rPr>
              <w:t>$ 6,101</w:t>
            </w:r>
          </w:p>
        </w:tc>
        <w:tc>
          <w:tcPr>
            <w:tcW w:w="660" w:type="dxa"/>
            <w:vAlign w:val="bottom"/>
            <w:gridSpan w:val="4"/>
          </w:tcPr>
          <w:p>
            <w:pPr>
              <w:jc w:val="right"/>
              <w:ind w:right="200"/>
              <w:spacing w:after="0"/>
              <w:rPr>
                <w:sz w:val="20"/>
                <w:szCs w:val="20"/>
                <w:color w:val="auto"/>
              </w:rPr>
            </w:pPr>
            <w:r>
              <w:rPr>
                <w:rFonts w:ascii="Arial" w:cs="Arial" w:eastAsia="Arial" w:hAnsi="Arial"/>
                <w:sz w:val="16"/>
                <w:szCs w:val="16"/>
                <w:color w:val="auto"/>
                <w:w w:val="76"/>
              </w:rPr>
              <w:t>$12,614</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w w:val="76"/>
              </w:rPr>
              <w:t>$12,021</w:t>
            </w: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3,086</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5,093</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rPr>
              <w:t>2,514</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5,590</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10,123</w:t>
            </w:r>
          </w:p>
        </w:tc>
      </w:tr>
      <w:tr>
        <w:trPr>
          <w:trHeight w:val="421"/>
        </w:trPr>
        <w:tc>
          <w:tcPr>
            <w:tcW w:w="5080" w:type="dxa"/>
            <w:vAlign w:val="bottom"/>
          </w:tcPr>
          <w:p>
            <w:pPr>
              <w:spacing w:after="0"/>
              <w:rPr>
                <w:sz w:val="20"/>
                <w:szCs w:val="20"/>
                <w:color w:val="auto"/>
              </w:rPr>
            </w:pPr>
            <w:r>
              <w:rPr>
                <w:rFonts w:ascii="Arial" w:cs="Arial" w:eastAsia="Arial" w:hAnsi="Arial"/>
                <w:sz w:val="18"/>
                <w:szCs w:val="18"/>
                <w:color w:val="auto"/>
              </w:rPr>
              <w:t>Electrical Products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3,987</w:t>
            </w: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8"/>
              </w:rPr>
              <w:t>2,040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2,116</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6,103</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3,360</w:t>
            </w:r>
          </w:p>
        </w:tc>
      </w:tr>
      <w:tr>
        <w:trPr>
          <w:trHeight w:val="20"/>
        </w:trPr>
        <w:tc>
          <w:tcPr>
            <w:tcW w:w="508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08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13,576</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13,800</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10,731</w:t>
            </w:r>
          </w:p>
        </w:tc>
        <w:tc>
          <w:tcPr>
            <w:tcW w:w="660" w:type="dxa"/>
            <w:vAlign w:val="bottom"/>
            <w:gridSpan w:val="4"/>
          </w:tcPr>
          <w:p>
            <w:pPr>
              <w:jc w:val="right"/>
              <w:ind w:right="2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24,307</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25,504</w:t>
            </w:r>
          </w:p>
        </w:tc>
      </w:tr>
      <w:tr>
        <w:trPr>
          <w:trHeight w:val="262"/>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18"/>
                <w:szCs w:val="18"/>
                <w:color w:val="auto"/>
              </w:rPr>
              <w:t>U.S.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76"/>
              </w:rPr>
              <w:t>$ 3,733</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$ 4,796</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color w:val="auto"/>
                <w:w w:val="89"/>
              </w:rPr>
              <w:t>$ 4,196</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73"/>
              </w:rPr>
              <w:t>$ 7,929</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3"/>
              </w:rPr>
              <w:t>$ 9,023</w:t>
            </w:r>
          </w:p>
        </w:tc>
      </w:tr>
      <w:tr>
        <w:trPr>
          <w:trHeight w:val="421"/>
        </w:trPr>
        <w:tc>
          <w:tcPr>
            <w:tcW w:w="5080" w:type="dxa"/>
            <w:vAlign w:val="bottom"/>
          </w:tcPr>
          <w:p>
            <w:pPr>
              <w:spacing w:after="0"/>
              <w:rPr>
                <w:sz w:val="20"/>
                <w:szCs w:val="20"/>
                <w:color w:val="auto"/>
              </w:rPr>
            </w:pPr>
            <w:r>
              <w:rPr>
                <w:rFonts w:ascii="Arial" w:cs="Arial" w:eastAsia="Arial" w:hAnsi="Arial"/>
                <w:sz w:val="18"/>
                <w:szCs w:val="18"/>
                <w:color w:val="auto"/>
              </w:rPr>
              <w:t>Foreign</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9,843</w:t>
            </w: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8"/>
              </w:rPr>
              <w:t>9,004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6,535</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79"/>
              </w:rPr>
              <w:t>16,378</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16,481</w:t>
            </w:r>
          </w:p>
        </w:tc>
      </w:tr>
      <w:tr>
        <w:trPr>
          <w:trHeight w:val="20"/>
        </w:trPr>
        <w:tc>
          <w:tcPr>
            <w:tcW w:w="5080" w:type="dxa"/>
            <w:vAlign w:val="bottom"/>
            <w:tcBorders>
              <w:right w:val="single" w:sz="8" w:color="auto"/>
            </w:tcBorders>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08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13,576</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13,800</w:t>
            </w:r>
          </w:p>
        </w:tc>
        <w:tc>
          <w:tcPr>
            <w:tcW w:w="2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10,731</w:t>
            </w:r>
          </w:p>
        </w:tc>
        <w:tc>
          <w:tcPr>
            <w:tcW w:w="660" w:type="dxa"/>
            <w:vAlign w:val="bottom"/>
            <w:gridSpan w:val="4"/>
          </w:tcPr>
          <w:p>
            <w:pPr>
              <w:jc w:val="right"/>
              <w:ind w:right="20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24,307</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25,504</w:t>
            </w:r>
          </w:p>
        </w:tc>
      </w:tr>
      <w:tr>
        <w:trPr>
          <w:trHeight w:val="20"/>
        </w:trPr>
        <w:tc>
          <w:tcPr>
            <w:tcW w:w="50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Our consolidated net revenues for the quarter ended June 30, 2012 decreased $224,000 or 2% as compared to the same period in 2011. For the quarter ended June 30, 2012, net revenues (net of intersegment sales) of our Thermal and Mechanical Products segments decreased $164,000 or 2% and $2.0 million or 39%, respectively, while the net revenues (net of intersegment sales) of our Electrical Products segment increased $1.9 million or 95% as compared to the same period in 2011. During the quarter ended June 30, 2012, the net revenues of our Thermal Products segment included $1.4 million of net revenues attributable to Thermonics, Inc. ("Thermonics"), which we acquired on January 16, 2012 as discussed further under "Acquisition" below. Adjusted to eliminate the impact of the net revenues attributable to Thermonics, the net revenues (net of intersegment sales) of our Thermal Products segment for the second quarter of 2012 would have decreased $1.5 million or 23% as compared to the same period in 2011. Net revenues from customers in various industries outside of the ATE industry and those net revenues as a percentage of our total consolidated net revenues were $1.8 million or 14%, respectively, for the quarter ended June 30, 2012, compared to $2.4 million or 22%, respectively, for the quarter ended March 31, 2012, and $2.6 million or 19%, respectively, for the quarter ended June 30, 2011. Adjusted to eliminate the impact of the net revenues attributable to</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380"/>
          </w:cols>
          <w:pgMar w:left="240" w:top="341" w:right="279" w:bottom="0" w:gutter="0" w:footer="0" w:header="0"/>
          <w:type w:val="continuous"/>
        </w:sectPr>
      </w:pPr>
    </w:p>
    <w:bookmarkStart w:id="17" w:name="page18"/>
    <w:bookmarkEnd w:id="17"/>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480"/>
        <w:spacing w:after="0" w:line="259" w:lineRule="auto"/>
        <w:rPr>
          <w:sz w:val="20"/>
          <w:szCs w:val="20"/>
          <w:color w:val="auto"/>
        </w:rPr>
      </w:pPr>
      <w:r>
        <w:rPr>
          <w:rFonts w:ascii="Arial" w:cs="Arial" w:eastAsia="Arial" w:hAnsi="Arial"/>
          <w:sz w:val="18"/>
          <w:szCs w:val="18"/>
          <w:color w:val="auto"/>
        </w:rPr>
        <w:t>Thermonics, the net revenues from customers in various industries outside of the ATE industry and those net revenues as a percentage of our total consolidated net revenues were $1.8 million or 15%, respectively, for the quarter ended June 30, 2012 and $2.4 million or 23%, respectively, for the quarter ended March 31, 2012.</w:t>
      </w:r>
    </w:p>
    <w:p>
      <w:pPr>
        <w:spacing w:after="0" w:line="194" w:lineRule="exact"/>
        <w:rPr>
          <w:sz w:val="20"/>
          <w:szCs w:val="20"/>
          <w:color w:val="auto"/>
        </w:rPr>
      </w:pPr>
    </w:p>
    <w:p>
      <w:pPr>
        <w:ind w:left="540" w:right="40"/>
        <w:spacing w:after="0" w:line="252" w:lineRule="auto"/>
        <w:rPr>
          <w:sz w:val="20"/>
          <w:szCs w:val="20"/>
          <w:color w:val="auto"/>
        </w:rPr>
      </w:pPr>
      <w:r>
        <w:rPr>
          <w:rFonts w:ascii="Arial" w:cs="Arial" w:eastAsia="Arial" w:hAnsi="Arial"/>
          <w:sz w:val="18"/>
          <w:szCs w:val="18"/>
          <w:color w:val="auto"/>
        </w:rPr>
        <w:t>During the second quarter of 2012, the level of demand experienced by our Thermal and Mechanical Products segments was less than that experienced during the same period in 2011. We believe the decline in the level of net revenues of our Thermal Products segment (when adjusted to eliminate the impact of the acquisition of Thermonics) reflects in part that this segment, which has historically lagged our other two product segments in regard to experiencing the impact of both increases and decreases in the levels of demand within the ATE industry, is now being impacted by the decline in demand in the ATE industry which we began to see impacting our Mechanical Products segment during the second quarter of 2011. In addition, our Thermal Products segment sells to industries outside of the ATE industry. This diversification has, in the past, helped to balance the impact of changing levels of demand in the ATE industry. However, in the first half of 2012, we have experienced weakened levels of demand in certain of these industries as well, which contributed to the overall level of decrease experienced by this product segment in the second quarter of 2012 as compared to the same period in 2011.</w:t>
      </w:r>
    </w:p>
    <w:p>
      <w:pPr>
        <w:spacing w:after="0" w:line="205"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We believe the decrease in the level of net revenues in our Mechanical Products segment reflects reduced demand within the ATE industry, which we had begun to see reflected in the level of our orders for this segment during the second quarter of 2011. This decline in demand was partially offset by increased demand during the first quarter of 2012 from one particular major customer that recently completed an acquisition and, as a result, has had higher than typical demand for certain of our equipment as a part of the process of integrating their post-acquisition operations. This same major customer also purchases products from our Electrical Products segment and we believe this also is responsible for a portion of the increase in the net revenues of our Electrical Products segment during the first half of 2012 as compared to the same period in 2011. We also attribute the increase in the net revenues of our Electrical Products segment to a significant increase in demand from one particular major OEM customer.</w:t>
      </w:r>
    </w:p>
    <w:p>
      <w:pPr>
        <w:spacing w:after="0" w:line="172"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Total orders for the quarter ended June 30, 2012 were $11.8 million compared to $12.9 million for the quarter ended March 31, 2012 and $13.5 million for the quarter ended June 30, 2011. Orders for the second quarter of 2012 include $1.4 million attributable to Thermonics. For the quarter ended June 30, 2012, orders for our Thermal, Mechanical and Electrical Products segments were $6.4 million, $2.3 million and $3.1 million, respectively, compared to $5.3 million, $3.8 million and $3.8 million for the quarter ended March 31, 2012, respectively, and $7.5 million, $4.3 million and $1.7 million for the quarter ended June 30, 2011, respectively. Orders from customers in various industries outside of the ATE industry and those orders as a percentage of our total consolidated orders were $1.2 million or 10%, respectively, for the quarter ended June 30, 2012, compared to $1.7 million or 13%, respectively, for the quarter ended March 31, 2012, and $3.7 million or 27%, respectively, for the quarter ended June 30, 2011.We cannot be certain what the level of our orders or net revenues will be in any future period for any of our product segments.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At June 30, 2012, our backlog of unfilled orders for all products was approximately $5.2 million compared with approximately $7.0 million at March 31, 2012 and $7.2 million at June 30, 2011. Our backlog at June 30, 2012 included approximately $744,000 that was attributable to Thermonics compared with approximately $674,000 at March 31, 2012. Our backlog includes customer orders which we have accepted, substantially all of which we expect to deliver in 2012.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On January 16, 2012, Temptronic Corporation acquired substantially all of the assets and certain liabilities of Thermonics, a division of Test Enterprises, Inc.,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broadens the product line of inTEST's Thermal Products segment. The purchase price for the assets was approximately $3.8 million in cash, plus the assumption of specified liabilities. For further discussion of the acquisition, see Note 3 to our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patented technology)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automotive, consumer electronics, defense/aerospace and telecommunications industries. The mix of customers during any given period will affect our gross margin due to differing sales discounts and commissions. For the six months ended June 30, 2012 and 2011, our OEM sales as a percentage of net revenues were 16% and 14%, respectively.</w:t>
      </w:r>
    </w:p>
    <w:p>
      <w:pPr>
        <w:spacing w:after="0" w:line="170" w:lineRule="exact"/>
        <w:rPr>
          <w:sz w:val="20"/>
          <w:szCs w:val="20"/>
          <w:color w:val="auto"/>
        </w:rPr>
      </w:pPr>
    </w:p>
    <w:p>
      <w:pPr>
        <w:ind w:left="540" w:right="460"/>
        <w:spacing w:after="0" w:line="370" w:lineRule="auto"/>
        <w:rPr>
          <w:sz w:val="20"/>
          <w:szCs w:val="20"/>
          <w:color w:val="auto"/>
        </w:rPr>
      </w:pPr>
      <w:r>
        <w:rPr>
          <w:rFonts w:ascii="Arial" w:cs="Arial" w:eastAsia="Arial" w:hAnsi="Arial"/>
          <w:sz w:val="15"/>
          <w:szCs w:val="15"/>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w:t>
      </w:r>
    </w:p>
    <w:p>
      <w:pPr>
        <w:sectPr>
          <w:pgSz w:w="11900" w:h="16867" w:orient="portrait"/>
          <w:cols w:equalWidth="0" w:num="1">
            <w:col w:w="11420"/>
          </w:cols>
          <w:pgMar w:left="240" w:top="125" w:right="239" w:bottom="0" w:gutter="0" w:footer="0" w:header="0"/>
        </w:sectPr>
      </w:pPr>
    </w:p>
    <w:bookmarkStart w:id="18" w:name="page19"/>
    <w:bookmarkEnd w:id="18"/>
    <w:p>
      <w:pPr>
        <w:jc w:val="both"/>
        <w:ind w:left="540" w:right="100"/>
        <w:spacing w:after="0" w:line="259" w:lineRule="auto"/>
        <w:rPr>
          <w:sz w:val="20"/>
          <w:szCs w:val="20"/>
          <w:color w:val="auto"/>
        </w:rPr>
      </w:pPr>
      <w:r>
        <w:rPr>
          <w:rFonts w:ascii="Arial" w:cs="Arial" w:eastAsia="Arial" w:hAnsi="Arial"/>
          <w:sz w:val="18"/>
          <w:szCs w:val="18"/>
          <w:color w:val="auto"/>
        </w:rPr>
        <w:t>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60"/>
        <w:spacing w:after="0" w:line="291" w:lineRule="auto"/>
        <w:rPr>
          <w:sz w:val="20"/>
          <w:szCs w:val="20"/>
          <w:color w:val="auto"/>
        </w:rPr>
      </w:pPr>
      <w:r>
        <w:rPr>
          <w:rFonts w:ascii="Arial" w:cs="Arial" w:eastAsia="Arial" w:hAnsi="Arial"/>
          <w:sz w:val="16"/>
          <w:szCs w:val="16"/>
          <w:color w:val="auto"/>
        </w:rPr>
        <w:t>All of our products are used by semiconductor manufacturers in conjunction with ATE in the testing of ICs. In addition, some of the products manufactured by our Thermal Products segment are used in industries outside of the semiconductor industry, including the automotive, consumer electronics, defense/aerospace and telecommunications industries.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7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1"/>
          </w:tcPr>
          <w:p>
            <w:pPr>
              <w:jc w:val="right"/>
              <w:ind w:right="440"/>
              <w:spacing w:after="0"/>
              <w:rPr>
                <w:sz w:val="20"/>
                <w:szCs w:val="20"/>
                <w:color w:val="auto"/>
              </w:rPr>
            </w:pPr>
            <w:r>
              <w:rPr>
                <w:rFonts w:ascii="Arial" w:cs="Arial" w:eastAsia="Arial" w:hAnsi="Arial"/>
                <w:sz w:val="14"/>
                <w:szCs w:val="14"/>
                <w:b w:val="1"/>
                <w:bCs w:val="1"/>
                <w:i w:val="1"/>
                <w:iCs w:val="1"/>
                <w:color w:val="auto"/>
                <w:w w:val="87"/>
              </w:rPr>
              <w:t>Percentage of Net Revenues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13"/>
          </w:tcPr>
          <w:p>
            <w:pPr>
              <w:jc w:val="right"/>
              <w:ind w:right="420"/>
              <w:spacing w:after="0"/>
              <w:rPr>
                <w:sz w:val="20"/>
                <w:szCs w:val="20"/>
                <w:color w:val="auto"/>
              </w:rPr>
            </w:pPr>
            <w:r>
              <w:rPr>
                <w:rFonts w:ascii="Arial" w:cs="Arial" w:eastAsia="Arial" w:hAnsi="Arial"/>
                <w:sz w:val="14"/>
                <w:szCs w:val="14"/>
                <w:b w:val="1"/>
                <w:bCs w:val="1"/>
                <w:i w:val="1"/>
                <w:iCs w:val="1"/>
                <w:color w:val="auto"/>
                <w:w w:val="83"/>
              </w:rPr>
              <w:t>Quarters Ended June 30,</w:t>
            </w:r>
          </w:p>
        </w:tc>
        <w:tc>
          <w:tcPr>
            <w:tcW w:w="1680" w:type="dxa"/>
            <w:vAlign w:val="bottom"/>
            <w:gridSpan w:val="12"/>
          </w:tcPr>
          <w:p>
            <w:pPr>
              <w:jc w:val="right"/>
              <w:ind w:right="140"/>
              <w:spacing w:after="0"/>
              <w:rPr>
                <w:sz w:val="20"/>
                <w:szCs w:val="20"/>
                <w:color w:val="auto"/>
              </w:rPr>
            </w:pPr>
            <w:r>
              <w:rPr>
                <w:rFonts w:ascii="Arial" w:cs="Arial" w:eastAsia="Arial" w:hAnsi="Arial"/>
                <w:sz w:val="14"/>
                <w:szCs w:val="14"/>
                <w:b w:val="1"/>
                <w:bCs w:val="1"/>
                <w:i w:val="1"/>
                <w:iCs w:val="1"/>
                <w:color w:val="auto"/>
                <w:w w:val="83"/>
              </w:rPr>
              <w:t>Six Months Ended June 30,</w:t>
            </w:r>
          </w:p>
        </w:tc>
      </w:tr>
      <w:tr>
        <w:trPr>
          <w:trHeight w:val="223"/>
        </w:trPr>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i w:val="1"/>
                <w:iCs w:val="1"/>
                <w:color w:val="auto"/>
              </w:rPr>
              <w:t>2011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i w:val="1"/>
                <w:iCs w:val="1"/>
                <w:color w:val="auto"/>
                <w:w w:val="96"/>
              </w:rPr>
              <w:t>2011</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2"/>
        </w:trPr>
        <w:tc>
          <w:tcPr>
            <w:tcW w:w="3540" w:type="dxa"/>
            <w:vAlign w:val="bottom"/>
          </w:tcPr>
          <w:p>
            <w:pPr>
              <w:spacing w:after="0"/>
              <w:rPr>
                <w:sz w:val="20"/>
                <w:szCs w:val="20"/>
                <w:color w:val="auto"/>
              </w:rPr>
            </w:pPr>
            <w:r>
              <w:rPr>
                <w:rFonts w:ascii="Arial" w:cs="Arial" w:eastAsia="Arial" w:hAnsi="Arial"/>
                <w:sz w:val="18"/>
                <w:szCs w:val="18"/>
                <w:color w:val="auto"/>
              </w:rPr>
              <w:t>Net revenues</w:t>
            </w:r>
          </w:p>
        </w:tc>
        <w:tc>
          <w:tcPr>
            <w:tcW w:w="1000" w:type="dxa"/>
            <w:vAlign w:val="bottom"/>
            <w:gridSpan w:val="9"/>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gridSpan w:val="5"/>
          </w:tcPr>
          <w:p>
            <w:pPr>
              <w:jc w:val="right"/>
              <w:ind w:right="240"/>
              <w:spacing w:after="0"/>
              <w:rPr>
                <w:sz w:val="20"/>
                <w:szCs w:val="20"/>
                <w:color w:val="auto"/>
              </w:rPr>
            </w:pPr>
            <w:r>
              <w:rPr>
                <w:rFonts w:ascii="Arial" w:cs="Arial" w:eastAsia="Arial" w:hAnsi="Arial"/>
                <w:sz w:val="18"/>
                <w:szCs w:val="18"/>
                <w:color w:val="auto"/>
              </w:rPr>
              <w:t>100.0%</w:t>
            </w:r>
          </w:p>
        </w:tc>
        <w:tc>
          <w:tcPr>
            <w:tcW w:w="1080" w:type="dxa"/>
            <w:vAlign w:val="bottom"/>
            <w:gridSpan w:val="6"/>
          </w:tcPr>
          <w:p>
            <w:pPr>
              <w:jc w:val="right"/>
              <w:ind w:right="320"/>
              <w:spacing w:after="0"/>
              <w:rPr>
                <w:sz w:val="20"/>
                <w:szCs w:val="20"/>
                <w:color w:val="auto"/>
              </w:rPr>
            </w:pPr>
            <w:r>
              <w:rPr>
                <w:rFonts w:ascii="Arial" w:cs="Arial" w:eastAsia="Arial" w:hAnsi="Arial"/>
                <w:sz w:val="18"/>
                <w:szCs w:val="18"/>
                <w:color w:val="auto"/>
              </w:rPr>
              <w:t>100.0%</w:t>
            </w:r>
          </w:p>
        </w:tc>
        <w:tc>
          <w:tcPr>
            <w:tcW w:w="600" w:type="dxa"/>
            <w:vAlign w:val="bottom"/>
            <w:gridSpan w:val="6"/>
          </w:tcPr>
          <w:p>
            <w:pPr>
              <w:jc w:val="right"/>
              <w:spacing w:after="0"/>
              <w:rPr>
                <w:sz w:val="20"/>
                <w:szCs w:val="20"/>
                <w:color w:val="auto"/>
              </w:rPr>
            </w:pPr>
            <w:r>
              <w:rPr>
                <w:rFonts w:ascii="Arial" w:cs="Arial" w:eastAsia="Arial" w:hAnsi="Arial"/>
                <w:sz w:val="18"/>
                <w:szCs w:val="18"/>
                <w:color w:val="auto"/>
                <w:w w:val="94"/>
              </w:rPr>
              <w:t>100.0%</w:t>
            </w:r>
          </w:p>
        </w:tc>
      </w:tr>
      <w:tr>
        <w:trPr>
          <w:trHeight w:val="421"/>
        </w:trPr>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360" w:type="dxa"/>
            <w:vAlign w:val="bottom"/>
            <w:gridSpan w:val="2"/>
          </w:tcPr>
          <w:p>
            <w:pPr>
              <w:spacing w:after="0"/>
              <w:rPr>
                <w:sz w:val="24"/>
                <w:szCs w:val="24"/>
                <w:color w:val="auto"/>
              </w:rPr>
            </w:pPr>
          </w:p>
        </w:tc>
        <w:tc>
          <w:tcPr>
            <w:tcW w:w="3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54.</w:t>
            </w:r>
            <w:r>
              <w:rPr>
                <w:rFonts w:ascii="Arial" w:cs="Arial" w:eastAsia="Arial" w:hAnsi="Arial"/>
                <w:sz w:val="18"/>
                <w:szCs w:val="18"/>
                <w:u w:val="single" w:color="auto"/>
                <w:color w:val="auto"/>
              </w:rPr>
              <w:t>4</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50.7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53.4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Gross margin</w:t>
            </w:r>
          </w:p>
        </w:tc>
        <w:tc>
          <w:tcPr>
            <w:tcW w:w="360" w:type="dxa"/>
            <w:vAlign w:val="bottom"/>
            <w:gridSpan w:val="2"/>
          </w:tcPr>
          <w:p>
            <w:pPr>
              <w:spacing w:after="0"/>
              <w:rPr>
                <w:sz w:val="24"/>
                <w:szCs w:val="24"/>
                <w:color w:val="auto"/>
              </w:rPr>
            </w:pPr>
          </w:p>
        </w:tc>
        <w:tc>
          <w:tcPr>
            <w:tcW w:w="3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6</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49.3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4</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46.6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8"/>
        </w:trPr>
        <w:tc>
          <w:tcPr>
            <w:tcW w:w="3540" w:type="dxa"/>
            <w:vAlign w:val="bottom"/>
          </w:tcPr>
          <w:p>
            <w:pPr>
              <w:spacing w:after="0"/>
              <w:rPr>
                <w:sz w:val="20"/>
                <w:szCs w:val="20"/>
                <w:color w:val="auto"/>
              </w:rPr>
            </w:pPr>
            <w:r>
              <w:rPr>
                <w:rFonts w:ascii="Arial" w:cs="Arial" w:eastAsia="Arial" w:hAnsi="Arial"/>
                <w:sz w:val="18"/>
                <w:szCs w:val="18"/>
                <w:color w:val="auto"/>
              </w:rPr>
              <w:t>Selling expense</w:t>
            </w:r>
          </w:p>
        </w:tc>
        <w:tc>
          <w:tcPr>
            <w:tcW w:w="740" w:type="dxa"/>
            <w:vAlign w:val="bottom"/>
            <w:gridSpan w:val="8"/>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4"/>
                <w:szCs w:val="24"/>
                <w:color w:val="auto"/>
              </w:rPr>
            </w:pPr>
          </w:p>
        </w:tc>
        <w:tc>
          <w:tcPr>
            <w:tcW w:w="1040" w:type="dxa"/>
            <w:vAlign w:val="bottom"/>
            <w:gridSpan w:val="5"/>
          </w:tcPr>
          <w:p>
            <w:pPr>
              <w:jc w:val="right"/>
              <w:ind w:right="380"/>
              <w:spacing w:after="0"/>
              <w:rPr>
                <w:sz w:val="20"/>
                <w:szCs w:val="20"/>
                <w:color w:val="auto"/>
              </w:rPr>
            </w:pPr>
            <w:r>
              <w:rPr>
                <w:rFonts w:ascii="Arial" w:cs="Arial" w:eastAsia="Arial" w:hAnsi="Arial"/>
                <w:sz w:val="18"/>
                <w:szCs w:val="18"/>
                <w:color w:val="auto"/>
              </w:rPr>
              <w:t>11.5</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w w:val="93"/>
              </w:rPr>
              <w:t>Engineering and product development expense</w:t>
            </w:r>
          </w:p>
        </w:tc>
        <w:tc>
          <w:tcPr>
            <w:tcW w:w="740" w:type="dxa"/>
            <w:vAlign w:val="bottom"/>
            <w:gridSpan w:val="8"/>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35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40" w:type="dxa"/>
            <w:vAlign w:val="bottom"/>
            <w:gridSpan w:val="8"/>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1"/>
        </w:trPr>
        <w:tc>
          <w:tcPr>
            <w:tcW w:w="354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440" w:type="dxa"/>
            <w:vAlign w:val="bottom"/>
            <w:gridSpan w:val="3"/>
          </w:tcPr>
          <w:p>
            <w:pPr>
              <w:spacing w:after="0"/>
              <w:rPr>
                <w:sz w:val="24"/>
                <w:szCs w:val="24"/>
                <w:color w:val="auto"/>
              </w:rPr>
            </w:pPr>
          </w:p>
        </w:tc>
        <w:tc>
          <w:tcPr>
            <w:tcW w:w="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3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8"/>
        </w:trPr>
        <w:tc>
          <w:tcPr>
            <w:tcW w:w="3540" w:type="dxa"/>
            <w:vAlign w:val="bottom"/>
          </w:tcPr>
          <w:p>
            <w:pPr>
              <w:spacing w:after="0"/>
              <w:rPr>
                <w:sz w:val="20"/>
                <w:szCs w:val="20"/>
                <w:color w:val="auto"/>
              </w:rPr>
            </w:pPr>
            <w:r>
              <w:rPr>
                <w:rFonts w:ascii="Arial" w:cs="Arial" w:eastAsia="Arial" w:hAnsi="Arial"/>
                <w:sz w:val="18"/>
                <w:szCs w:val="18"/>
                <w:color w:val="auto"/>
              </w:rPr>
              <w:t>Operating income</w:t>
            </w:r>
          </w:p>
        </w:tc>
        <w:tc>
          <w:tcPr>
            <w:tcW w:w="740" w:type="dxa"/>
            <w:vAlign w:val="bottom"/>
            <w:gridSpan w:val="8"/>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1"/>
        </w:trPr>
        <w:tc>
          <w:tcPr>
            <w:tcW w:w="3540" w:type="dxa"/>
            <w:vAlign w:val="bottom"/>
          </w:tcPr>
          <w:p>
            <w:pPr>
              <w:spacing w:after="0"/>
              <w:rPr>
                <w:sz w:val="20"/>
                <w:szCs w:val="20"/>
                <w:color w:val="auto"/>
              </w:rPr>
            </w:pPr>
            <w:r>
              <w:rPr>
                <w:rFonts w:ascii="Arial" w:cs="Arial" w:eastAsia="Arial" w:hAnsi="Arial"/>
                <w:sz w:val="18"/>
                <w:szCs w:val="18"/>
                <w:color w:val="auto"/>
              </w:rPr>
              <w:t>Other income</w:t>
            </w:r>
          </w:p>
        </w:tc>
        <w:tc>
          <w:tcPr>
            <w:tcW w:w="440" w:type="dxa"/>
            <w:vAlign w:val="bottom"/>
            <w:gridSpan w:val="3"/>
          </w:tcPr>
          <w:p>
            <w:pPr>
              <w:spacing w:after="0"/>
              <w:rPr>
                <w:sz w:val="24"/>
                <w:szCs w:val="24"/>
                <w:color w:val="auto"/>
              </w:rPr>
            </w:pPr>
          </w:p>
        </w:tc>
        <w:tc>
          <w:tcPr>
            <w:tcW w:w="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3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8"/>
        </w:trPr>
        <w:tc>
          <w:tcPr>
            <w:tcW w:w="354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740" w:type="dxa"/>
            <w:vAlign w:val="bottom"/>
            <w:gridSpan w:val="8"/>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1"/>
        </w:trPr>
        <w:tc>
          <w:tcPr>
            <w:tcW w:w="3540" w:type="dxa"/>
            <w:vAlign w:val="bottom"/>
          </w:tcPr>
          <w:p>
            <w:pPr>
              <w:spacing w:after="0"/>
              <w:rPr>
                <w:sz w:val="20"/>
                <w:szCs w:val="20"/>
                <w:color w:val="auto"/>
              </w:rPr>
            </w:pPr>
            <w:r>
              <w:rPr>
                <w:rFonts w:ascii="Arial" w:cs="Arial" w:eastAsia="Arial" w:hAnsi="Arial"/>
                <w:sz w:val="18"/>
                <w:szCs w:val="18"/>
                <w:color w:val="auto"/>
              </w:rPr>
              <w:t>Income tax expense</w:t>
            </w:r>
          </w:p>
        </w:tc>
        <w:tc>
          <w:tcPr>
            <w:tcW w:w="440" w:type="dxa"/>
            <w:vAlign w:val="bottom"/>
            <w:gridSpan w:val="3"/>
          </w:tcPr>
          <w:p>
            <w:pPr>
              <w:spacing w:after="0"/>
              <w:rPr>
                <w:sz w:val="24"/>
                <w:szCs w:val="24"/>
                <w:color w:val="auto"/>
              </w:rPr>
            </w:pPr>
          </w:p>
        </w:tc>
        <w:tc>
          <w:tcPr>
            <w:tcW w:w="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9</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Net earnings</w:t>
            </w:r>
          </w:p>
        </w:tc>
        <w:tc>
          <w:tcPr>
            <w:tcW w:w="500" w:type="dxa"/>
            <w:vAlign w:val="bottom"/>
            <w:gridSpan w:val="4"/>
          </w:tcPr>
          <w:p>
            <w:pPr>
              <w:spacing w:after="0"/>
              <w:rPr>
                <w:sz w:val="24"/>
                <w:szCs w:val="24"/>
                <w:color w:val="auto"/>
              </w:rPr>
            </w:pPr>
          </w:p>
        </w:tc>
        <w:tc>
          <w:tcPr>
            <w:tcW w:w="500" w:type="dxa"/>
            <w:vAlign w:val="bottom"/>
            <w:gridSpan w:val="5"/>
          </w:tcPr>
          <w:p>
            <w:pPr>
              <w:jc w:val="right"/>
              <w:ind w:right="120"/>
              <w:spacing w:after="0"/>
              <w:rPr>
                <w:sz w:val="20"/>
                <w:szCs w:val="20"/>
                <w:color w:val="auto"/>
              </w:rPr>
            </w:pPr>
            <w:r>
              <w:rPr>
                <w:rFonts w:ascii="Arial" w:cs="Arial" w:eastAsia="Arial" w:hAnsi="Arial"/>
                <w:sz w:val="18"/>
                <w:szCs w:val="18"/>
                <w:color w:val="auto"/>
                <w:w w:val="87"/>
              </w:rPr>
              <w:t>9.8%</w:t>
            </w:r>
          </w:p>
        </w:tc>
        <w:tc>
          <w:tcPr>
            <w:tcW w:w="1040" w:type="dxa"/>
            <w:vAlign w:val="bottom"/>
            <w:gridSpan w:val="5"/>
          </w:tcPr>
          <w:p>
            <w:pPr>
              <w:jc w:val="right"/>
              <w:ind w:right="240"/>
              <w:spacing w:after="0"/>
              <w:rPr>
                <w:sz w:val="20"/>
                <w:szCs w:val="20"/>
                <w:color w:val="auto"/>
              </w:rPr>
            </w:pPr>
            <w:r>
              <w:rPr>
                <w:rFonts w:ascii="Arial" w:cs="Arial" w:eastAsia="Arial" w:hAnsi="Arial"/>
                <w:sz w:val="18"/>
                <w:szCs w:val="18"/>
                <w:color w:val="auto"/>
              </w:rPr>
              <w:t>19.2%</w:t>
            </w:r>
          </w:p>
        </w:tc>
        <w:tc>
          <w:tcPr>
            <w:tcW w:w="1080" w:type="dxa"/>
            <w:vAlign w:val="bottom"/>
            <w:gridSpan w:val="6"/>
          </w:tcPr>
          <w:p>
            <w:pPr>
              <w:jc w:val="right"/>
              <w:ind w:right="320"/>
              <w:spacing w:after="0"/>
              <w:rPr>
                <w:sz w:val="20"/>
                <w:szCs w:val="20"/>
                <w:color w:val="auto"/>
              </w:rPr>
            </w:pPr>
            <w:r>
              <w:rPr>
                <w:rFonts w:ascii="Arial" w:cs="Arial" w:eastAsia="Arial" w:hAnsi="Arial"/>
                <w:sz w:val="18"/>
                <w:szCs w:val="18"/>
                <w:color w:val="auto"/>
              </w:rPr>
              <w:t>5.3%</w:t>
            </w:r>
          </w:p>
        </w:tc>
        <w:tc>
          <w:tcPr>
            <w:tcW w:w="600" w:type="dxa"/>
            <w:vAlign w:val="bottom"/>
            <w:gridSpan w:val="6"/>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June 30, 2012 Compared to Quarter Ended June 30, 2011</w:t>
      </w:r>
    </w:p>
    <w:p>
      <w:pPr>
        <w:spacing w:after="0" w:line="225"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$13.6 million for the quarter ended June 30, 2012 compared to $13.8 million for the same period in 2011,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$224,000 or 2%. Net revenues (net of intersegment sales) of our Thermal and Mechanical Products segments decreased $164,000 or 2% and $2.0 million or 39%, respectively, while the net revenues (net of intersegment sales) of our Electrical Products segment increased $1.9 million or 95% for the quarter ended June 30, 2012 as compared to the same period in 2011. During the quarter ended June 30, 2012, the net revenues of our Thermal Products segment included $1.4 million of net revenues attributable to Thermonics. We believe the decrease in our consolidated net revenues during the second quarter of 2012 primarily reflects the factors previously discussed in the Overview.</w:t>
      </w:r>
    </w:p>
    <w:p>
      <w:pPr>
        <w:spacing w:after="0" w:line="174" w:lineRule="exact"/>
        <w:rPr>
          <w:sz w:val="20"/>
          <w:szCs w:val="20"/>
          <w:color w:val="auto"/>
        </w:rPr>
      </w:pPr>
    </w:p>
    <w:p>
      <w:pPr>
        <w:jc w:val="both"/>
        <w:ind w:left="540" w:right="440"/>
        <w:spacing w:after="0" w:line="259" w:lineRule="auto"/>
        <w:rPr>
          <w:sz w:val="20"/>
          <w:szCs w:val="20"/>
          <w:color w:val="auto"/>
        </w:rPr>
      </w:pPr>
      <w:r>
        <w:rPr>
          <w:rFonts w:ascii="Arial" w:cs="Arial" w:eastAsia="Arial" w:hAnsi="Arial"/>
          <w:sz w:val="18"/>
          <w:szCs w:val="18"/>
          <w:color w:val="auto"/>
        </w:rPr>
        <w:t>During the quarter ended June 30, 2012, our net revenues from customers in the U.S. decreased 22% while our net revenues from foreign customers increased 9%, respectively, as compared to the same period in 2011. The impact of changes in foreign currency exchange rates on the increase in net revenues from foreign customers was less than 1%.</w:t>
      </w:r>
    </w:p>
    <w:p>
      <w:pPr>
        <w:spacing w:after="0" w:line="194"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46% for the second quarter of 2012 compared to 49% for the same period in 2011. For the quarter ended June 30, 2012,</w:t>
      </w:r>
      <w:r>
        <w:rPr>
          <w:rFonts w:ascii="Arial" w:cs="Arial" w:eastAsia="Arial" w:hAnsi="Arial"/>
          <w:sz w:val="16"/>
          <w:szCs w:val="16"/>
          <w:i w:val="1"/>
          <w:iCs w:val="1"/>
          <w:color w:val="auto"/>
        </w:rPr>
        <w:t xml:space="preserve"> </w:t>
      </w:r>
      <w:r>
        <w:rPr>
          <w:rFonts w:ascii="Arial" w:cs="Arial" w:eastAsia="Arial" w:hAnsi="Arial"/>
          <w:sz w:val="16"/>
          <w:szCs w:val="16"/>
          <w:color w:val="auto"/>
        </w:rPr>
        <w:t>our fixed operating costs increased $243,000 in absolute dollar terms as compared to the same quarter in 2011. As a percentage of net revenues, these costs increased from 11% of net revenues for the second quarter of 2011 to 13% of net revenues for the second quarter of 2012. The increase in the absolute dollar value of these costs primarily reflects increased salaries and benefits expense representing increased levels of staff in our Thermal Products segment. In addition, we had higher levels of depreciation reflecting a higher fixed asset base at June 30, 2012 as compared to June 30, 2011. To a lesser extent, we also attribute the decrease in gross margin to an increase in our component material costs as a percentage of net revenues. These costs increased from 37% of net revenues for the quarter ended June 30, 2011 to 38% of net revenues for the quarter ended June 30, 2012, reflecting changes in customer and product mix.</w:t>
      </w:r>
    </w:p>
    <w:p>
      <w:pPr>
        <w:spacing w:after="0" w:line="172" w:lineRule="exact"/>
        <w:rPr>
          <w:sz w:val="20"/>
          <w:szCs w:val="20"/>
          <w:color w:val="auto"/>
        </w:rPr>
      </w:pPr>
    </w:p>
    <w:p>
      <w:pPr>
        <w:jc w:val="both"/>
        <w:ind w:left="540" w:right="20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relatively unchanged at $1.6 million for both the second quarter of 2012 and the same period in 2011. Increases in</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and travel expense in our Mechanical and Electrical Products segments were offset by lower levels of third party commissions, primarily in our Mechanical Products segment as a result of both the lower net revenues and changes in customer mix.</w:t>
      </w:r>
    </w:p>
    <w:p>
      <w:pPr>
        <w:sectPr>
          <w:pgSz w:w="11900" w:h="16838" w:orient="portrait"/>
          <w:cols w:equalWidth="0" w:num="1">
            <w:col w:w="11420"/>
          </w:cols>
          <w:pgMar w:left="240" w:top="131" w:right="239" w:bottom="0" w:gutter="0" w:footer="0" w:header="0"/>
        </w:sectPr>
      </w:pPr>
    </w:p>
    <w:bookmarkStart w:id="19" w:name="page20"/>
    <w:bookmarkEnd w:id="19"/>
    <w:p>
      <w:pPr>
        <w:spacing w:after="0" w:line="69"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$980,000 for the second quarter of 2012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$822,000 for the same period in 2011, an increase of $158,000 or 19%. The increase in engineering and product development expense reflects higher spending on materials used in new product development projects and, to a lesser extent, an increased use of third party consultants and the hiring of additional staff in our Thermal and Electrical Products segments.</w:t>
      </w:r>
    </w:p>
    <w:p>
      <w:pPr>
        <w:spacing w:after="0" w:line="197"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relatively unchanged at $1.7 million for both the second quarter of 2012</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same period in 2011. Higher levels of intangible asset amortization as a result of the Thermonics acquisition were offset by a reduction in professional fees. During the second quarter of 2011, we incurred higher levels of professional fees, primarily related to the filing of our shelf registration statement on Form S-3 in May 2011; there were no similar fees in the second quarter of 2012.</w:t>
      </w:r>
    </w:p>
    <w:p>
      <w:pPr>
        <w:spacing w:after="0" w:line="167" w:lineRule="exact"/>
        <w:rPr>
          <w:sz w:val="20"/>
          <w:szCs w:val="20"/>
          <w:color w:val="auto"/>
        </w:rPr>
      </w:pPr>
    </w:p>
    <w:p>
      <w:pPr>
        <w:jc w:val="both"/>
        <w:ind w:left="540" w:right="460"/>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There was no other income for the second quarter of 2012 compared to other income of $10,000 for the second quarter of 2011. The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other income in the second quarter of 2012 as compared to the same period in 2011 primarily represents an increase in foreign currency transaction losses.</w:t>
      </w:r>
    </w:p>
    <w:p>
      <w:pPr>
        <w:spacing w:after="0" w:line="194"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June 30, 2012, we recorded income tax expense of $660,000 compared to income tax expense of $78,000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2011.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and fourth quarters of 2011, we reversed $3.1 million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Six Months Ended June 30, 2012 Compared to Six Months Ended June 30, 2011</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$24.3 million for the six months ended June 30, 2012 compared to $25.5 million for the same period in 2011, a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$1.2 million or 5%. Net revenues (net of intersegment sales) of our Thermal and Electrical Products segments increased $593,000 or 5% and $2.7 million or 82%, respectively, while the net revenues (net of intersegment sales) of our Mechanical Products segment decreased $4.5 million or 45% for the six months ended June 30, 2012 as compared to the same period in 2011. During the six months ended June 30, 2012 the net revenues of our Thermal Products segment included $2.0 million of net revenues attributable to Thermonics. We believe the decrease in our consolidated net revenues during the first six months of 2012 primarily reflects the factors previously discussed in the Overview.</w:t>
      </w:r>
    </w:p>
    <w:p>
      <w:pPr>
        <w:spacing w:after="0" w:line="174"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During the six months ended June 30, 2012, our net revenues from customers in the U.S. decreased 12% while our net revenues from foreign customers were relatively unchanged as compared to the same period in 2011. The impact of changes in foreign currency exchange rates on the change in net revenues from foreign customers was less than 1%.</w:t>
      </w:r>
    </w:p>
    <w:p>
      <w:pPr>
        <w:spacing w:after="0" w:line="194"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44% for the first six months of 2012 compared to 47% for the same period in 2011.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fixed operating costs increased $178,000 in absolute dollar terms as compared to the same period in 2011. As a percentage of net revenues, these costs increased from 13% of net revenues for the first six months of 2011 to 15% of net revenues for the same period in 2012. The increase in the absolute dollar value of these costs primarily reflects increased salaries and benefits expense representing increased levels of staff in our Thermal Products segment. In addition, we had higher levels of depreciation reflecting a higher fixed asset base at June 30, 2012 as compared to June 30, 2011. To a lesser extent, we also attribute the decrease in gross margin to an increase in our charges for obsolete and excess material. These charges increased $161,000 in the first six months of 2012 as compared to the same period in 2011, reflecting more items falling into our standard objective criteria, primarily as a result of changes in demand for certain products made by our Mechanical and Electrical Products segments.</w:t>
      </w:r>
    </w:p>
    <w:p>
      <w:pPr>
        <w:spacing w:after="0" w:line="172"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relatively unchanged at $3.0 million for both the first six months of 2012 and 2011. Lower levels of commissions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Mechanical Products segment, reflecting both the lower net revenue levels as well as changes in product and customer mix, were offset by increases in advertising and travel expense in our Mechanical and Electrical Products segments as well as increased salary and benefits expense.</w:t>
      </w:r>
    </w:p>
    <w:p>
      <w:pPr>
        <w:spacing w:after="0" w:line="161"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$1.9 million for the first six months of 2012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 million for the same period in 2011, an increase of $269,000 or 16%. The increase in engineering and product development expense reflects an increased use of third party consultants, higher spending on materials used in new product development projects in our Thermal and Electrical Products segments and the hiring of additional staff.</w:t>
      </w:r>
    </w:p>
    <w:p>
      <w:pPr>
        <w:spacing w:after="0" w:line="197"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$3.7 million for the first six months of 2012 compared to $3.3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2011, an increase of $356,000 or 11%. During the first six months of 2012, we recorded $337,000 in costs associated with the acquisition of Thermonics which was completed on January 16, 2012; there were no similar costs recorded in the first six months of 2011. In addition, amortization expense related to our intangible assets increased $196,000 during the first six months of 2012 as compared to the same period in 2011. This increase represents amortization of the intangible assets acquired as a part of the Thermonics transaction. These increases were partially offset by a decrease in accruals for profit-related bonuses in our Mechanical and Thermal Products segments, reflecting the lower level of net earnings in the first six months of 2012 as compared to the same period of 2011.</w:t>
      </w:r>
    </w:p>
    <w:p>
      <w:pPr>
        <w:spacing w:after="0" w:line="172"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Restructuring and other charges were $359,000 for the first six months of 2012; there were no similar charges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six months of 2011. The restructuring and other charges recorded during the first quarter of 2012 represent facility closure costs related to the closure of the Sunnyvale, California facility occupied by Thermonics at the time of our acquisition of this operation.</w:t>
      </w:r>
    </w:p>
    <w:p>
      <w:pPr>
        <w:spacing w:after="0" w:line="161" w:lineRule="exact"/>
        <w:rPr>
          <w:sz w:val="20"/>
          <w:szCs w:val="20"/>
          <w:color w:val="auto"/>
        </w:rPr>
      </w:pPr>
    </w:p>
    <w:p>
      <w:pPr>
        <w:ind w:left="540" w:right="200"/>
        <w:spacing w:after="0" w:line="370" w:lineRule="auto"/>
        <w:rPr>
          <w:sz w:val="20"/>
          <w:szCs w:val="20"/>
          <w:color w:val="auto"/>
        </w:rPr>
      </w:pPr>
      <w:r>
        <w:rPr>
          <w:rFonts w:ascii="Arial" w:cs="Arial" w:eastAsia="Arial" w:hAnsi="Arial"/>
          <w:sz w:val="15"/>
          <w:szCs w:val="15"/>
          <w:i w:val="1"/>
          <w:iCs w:val="1"/>
          <w:color w:val="auto"/>
        </w:rPr>
        <w:t xml:space="preserve">Other Income. </w:t>
      </w:r>
      <w:r>
        <w:rPr>
          <w:rFonts w:ascii="Arial" w:cs="Arial" w:eastAsia="Arial" w:hAnsi="Arial"/>
          <w:sz w:val="15"/>
          <w:szCs w:val="15"/>
          <w:color w:val="auto"/>
        </w:rPr>
        <w:t>Other income was $13,000 for the first six months of 2012 compared to other income of $66,000 for the same period in 2011. During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first six months of 2011, we recorded a gain on sale of property and equipment; there was no similar gain recorded during the first six months of 2012.</w:t>
      </w:r>
    </w:p>
    <w:p>
      <w:pPr>
        <w:sectPr>
          <w:pgSz w:w="11900" w:h="16908" w:orient="portrait"/>
          <w:cols w:equalWidth="0" w:num="1">
            <w:col w:w="11420"/>
          </w:cols>
          <w:pgMar w:left="240" w:top="347" w:right="239" w:bottom="0" w:gutter="0" w:footer="0" w:header="0"/>
        </w:sectPr>
      </w:pPr>
    </w:p>
    <w:bookmarkStart w:id="20" w:name="page21"/>
    <w:bookmarkEnd w:id="20"/>
    <w:p>
      <w:pPr>
        <w:ind w:left="540" w:right="4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six months ended June 30, 2012, we recorded income tax expense of $632,000 compared to income tax expense of $138,000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2011. On a quarterly basis, we record income tax expense or benefit based on the expected annualized effective tax rate for the various taxing jurisdictions in which we operate our businesses.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ind w:left="540" w:right="140"/>
        <w:spacing w:after="0" w:line="290" w:lineRule="auto"/>
        <w:rPr>
          <w:sz w:val="20"/>
          <w:szCs w:val="20"/>
          <w:color w:val="auto"/>
        </w:rPr>
      </w:pPr>
      <w:r>
        <w:rPr>
          <w:rFonts w:ascii="Arial" w:cs="Arial" w:eastAsia="Arial" w:hAnsi="Arial"/>
          <w:sz w:val="16"/>
          <w:szCs w:val="16"/>
          <w:color w:val="auto"/>
        </w:rPr>
        <w:t>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and fourth quarters of 2011, we reversed $3.1 million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cash provided by operations for the six months ended June 30, 2012 was $1.7 million compared to $2.5 million for the same period in 2011. The</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decrease in net cash provided by operations primarily reflects the lower level of net earnings in the first six months of 2012 as compared to 2011. Adjusted</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 eliminate the impact of the Thermonics acquisition, inventories decreased $316,000 during the first six months of 2012 compared to an increase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$761,000 during the same period in 2011, primarily reflecting the reduced business activity in our Thermal and Mechanical Products segments in 2012 as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compared to 2011. Accounts payable increased $1.0 million in the first six months of 2012 compared to an increase of $432,000 during the same period in</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2011. The higher level of increase in accounts payable during 2012 primarily reflects the significant increase in the level of business at our Electrical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Products segment in the first half of 2012 as compared to the same period in 2011. During the first six months of 2012, we recorded deferred income tax</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expense of $372,000. We did not record any deferred income tax expense during the same period in 2011 as we still had a full valuation allowance against</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all of our deferred tax assets during the first six months of 2011. As previously discussed, we reversed this valuation allowance during the second half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2011. Other current liabilities increased $158,000 during the first six months of 2012 compared to a decrease of $112,000 during the same time period in</w:t>
      </w:r>
    </w:p>
    <w:p>
      <w:pPr>
        <w:spacing w:after="0" w:line="32" w:lineRule="exact"/>
        <w:rPr>
          <w:sz w:val="20"/>
          <w:szCs w:val="20"/>
          <w:color w:val="auto"/>
        </w:rPr>
      </w:pPr>
    </w:p>
    <w:p>
      <w:pPr>
        <w:ind w:left="540" w:right="100"/>
        <w:spacing w:after="0" w:line="302" w:lineRule="auto"/>
        <w:rPr>
          <w:sz w:val="20"/>
          <w:szCs w:val="20"/>
          <w:color w:val="auto"/>
        </w:rPr>
      </w:pPr>
      <w:r>
        <w:rPr>
          <w:rFonts w:ascii="Arial" w:cs="Arial" w:eastAsia="Arial" w:hAnsi="Arial"/>
          <w:sz w:val="16"/>
          <w:szCs w:val="16"/>
          <w:color w:val="auto"/>
        </w:rPr>
        <w:t>2011. The increase in 2012 primarily reflects an increase in domestic and foreign taxes payable. Depreciation and amortization was $471,000 for the first six months of 2012 compared to $209,000 for the same period in 2011. The increase in 2012 as compared to 2011 primarily reflects higher levels of depreciation and amortization related to fixed assets and intangible assets acquired as a part of the Thermonics transaction completed in January 2012.</w:t>
      </w:r>
    </w:p>
    <w:p>
      <w:pPr>
        <w:spacing w:after="0" w:line="163" w:lineRule="exact"/>
        <w:rPr>
          <w:sz w:val="20"/>
          <w:szCs w:val="20"/>
          <w:color w:val="auto"/>
        </w:rPr>
      </w:pPr>
    </w:p>
    <w:p>
      <w:pPr>
        <w:jc w:val="both"/>
        <w:ind w:left="540" w:right="180"/>
        <w:spacing w:after="0" w:line="259" w:lineRule="auto"/>
        <w:rPr>
          <w:sz w:val="20"/>
          <w:szCs w:val="20"/>
          <w:color w:val="auto"/>
        </w:rPr>
      </w:pPr>
      <w:r>
        <w:rPr>
          <w:rFonts w:ascii="Arial" w:cs="Arial" w:eastAsia="Arial" w:hAnsi="Arial"/>
          <w:sz w:val="18"/>
          <w:szCs w:val="18"/>
          <w:color w:val="auto"/>
        </w:rPr>
        <w:t>During the first six months of 2012, we paid $3.8 million to acquire Thermonics, as discussed further in the Overview and in Note 3 to our consolidated financial statements. We have no significant commitments for capital expenditures for the balance of 2012, however, depending upon changes in market demand, we may make such purchases as we deem necessary and appropriate.</w:t>
      </w:r>
    </w:p>
    <w:p>
      <w:pPr>
        <w:spacing w:after="0" w:line="194"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As of June 30, 2012, we had cash and cash equivalents of $11.7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color w:val="auto"/>
        </w:rPr>
        <w:t>. (Continued)</w:t>
      </w:r>
    </w:p>
    <w:p>
      <w:pPr>
        <w:spacing w:after="0" w:line="191" w:lineRule="exact"/>
        <w:rPr>
          <w:sz w:val="20"/>
          <w:szCs w:val="20"/>
          <w:color w:val="auto"/>
        </w:rPr>
      </w:pPr>
    </w:p>
    <w:p>
      <w:pPr>
        <w:jc w:val="both"/>
        <w:ind w:left="540" w:right="160"/>
        <w:spacing w:after="0" w:line="259" w:lineRule="auto"/>
        <w:rPr>
          <w:sz w:val="20"/>
          <w:szCs w:val="20"/>
          <w:color w:val="auto"/>
        </w:rPr>
      </w:pPr>
      <w:r>
        <w:rPr>
          <w:rFonts w:ascii="Arial" w:cs="Arial" w:eastAsia="Arial" w:hAnsi="Arial"/>
          <w:sz w:val="18"/>
          <w:szCs w:val="18"/>
          <w:color w:val="auto"/>
        </w:rPr>
        <w:t>of the possibility that future events affecting them may differ markedly from what had been assumed when the financial statements were prepared. As of June 30, 2012, there have been no significant changes to the accounting policies that we have deemed critical. These policies are more fully described in our 2011 Form 10-K.</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280"/>
        <w:spacing w:after="0" w:line="259" w:lineRule="auto"/>
        <w:rPr>
          <w:sz w:val="20"/>
          <w:szCs w:val="20"/>
          <w:color w:val="auto"/>
        </w:rPr>
      </w:pPr>
      <w:r>
        <w:rPr>
          <w:rFonts w:ascii="Arial" w:cs="Arial" w:eastAsia="Arial" w:hAnsi="Arial"/>
          <w:sz w:val="18"/>
          <w:szCs w:val="18"/>
          <w:color w:val="auto"/>
        </w:rPr>
        <w:t>There were no off-balance sheet arrangements during the six months ended June 30, 2012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ectPr>
          <w:pgSz w:w="11900" w:h="16838" w:orient="portrait"/>
          <w:cols w:equalWidth="0" w:num="1">
            <w:col w:w="11420"/>
          </w:cols>
          <w:pgMar w:left="240" w:top="347" w:right="239" w:bottom="0" w:gutter="0" w:footer="0" w:header="0"/>
        </w:sectPr>
      </w:pPr>
    </w:p>
    <w:bookmarkStart w:id="21" w:name="page22"/>
    <w:bookmarkEnd w:id="21"/>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1"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 - - - - - - - - - - - - - - - - - - - - - - - - - - - - - -</w:t>
      </w:r>
    </w:p>
    <w:p>
      <w:pPr>
        <w:spacing w:after="0" w:line="200" w:lineRule="exact"/>
        <w:rPr>
          <w:sz w:val="20"/>
          <w:szCs w:val="20"/>
          <w:color w:val="auto"/>
        </w:rPr>
      </w:pPr>
    </w:p>
    <w:p>
      <w:pPr>
        <w:spacing w:after="0" w:line="38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10, 2012</w:t>
            </w:r>
          </w:p>
        </w:tc>
        <w:tc>
          <w:tcPr>
            <w:tcW w:w="458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280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10, 2012</w:t>
            </w:r>
          </w:p>
        </w:tc>
        <w:tc>
          <w:tcPr>
            <w:tcW w:w="458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306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i w:val="1"/>
                <w:iCs w:val="1"/>
                <w:color w:val="auto"/>
              </w:rPr>
              <w:t>Secretary, Treasurer and Chief Financial Officer</w:t>
            </w:r>
          </w:p>
        </w:tc>
      </w:tr>
      <w:tr>
        <w:trPr>
          <w:trHeight w:val="797"/>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gridSpan w:val="3"/>
          </w:tcPr>
          <w:p>
            <w:pPr>
              <w:jc w:val="right"/>
              <w:ind w:right="1380"/>
              <w:spacing w:after="0"/>
              <w:rPr>
                <w:sz w:val="20"/>
                <w:szCs w:val="20"/>
                <w:color w:val="auto"/>
              </w:rPr>
            </w:pPr>
            <w:r>
              <w:rPr>
                <w:rFonts w:ascii="Arial" w:cs="Arial" w:eastAsia="Arial" w:hAnsi="Arial"/>
                <w:sz w:val="18"/>
                <w:szCs w:val="18"/>
                <w:color w:val="auto"/>
              </w:rPr>
              <w:t>- 27 -</w:t>
            </w:r>
          </w:p>
        </w:tc>
      </w:tr>
      <w:tr>
        <w:trPr>
          <w:trHeight w:val="783"/>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80" w:type="dxa"/>
            <w:vAlign w:val="bottom"/>
            <w:gridSpan w:val="3"/>
          </w:tcPr>
          <w:p>
            <w:pPr>
              <w:jc w:val="right"/>
              <w:spacing w:after="0"/>
              <w:rPr>
                <w:sz w:val="20"/>
                <w:szCs w:val="20"/>
                <w:color w:val="auto"/>
              </w:rPr>
            </w:pPr>
            <w:r>
              <w:rPr>
                <w:rFonts w:ascii="Arial" w:cs="Arial" w:eastAsia="Arial" w:hAnsi="Arial"/>
                <w:sz w:val="18"/>
                <w:szCs w:val="18"/>
                <w:b w:val="1"/>
                <w:bCs w:val="1"/>
                <w:color w:val="auto"/>
              </w:rPr>
              <w:t>- - - - - - - - - - - - - - - - - - - - - - - - - - -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ind w:left="400" w:right="5220"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4660"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18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40"/>
          </w:cols>
          <w:pgMar w:left="240" w:top="341" w:right="719" w:bottom="539"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10, 2012</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10, 2012</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June 30, 2012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10, 2012</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June 30, 2012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10, 2012</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2019-12-09T12:15:50Z</dcterms:created>
  <dcterms:modified xsi:type="dcterms:W3CDTF">2019-12-09T12:15:50Z</dcterms:modified>
</cp:coreProperties>
</file>