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_____________</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3840" w:right="1680" w:hanging="3832"/>
        <w:spacing w:after="0" w:line="266" w:lineRule="auto"/>
        <w:tabs>
          <w:tab w:leader="none" w:pos="2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2020</w:t>
      </w:r>
      <w:r>
        <w:rPr>
          <w:rFonts w:ascii="Arial" w:cs="Arial" w:eastAsia="Arial" w:hAnsi="Arial"/>
          <w:sz w:val="18"/>
          <w:szCs w:val="18"/>
          <w:color w:val="auto"/>
        </w:rPr>
        <w:t xml:space="preserve"> or</w:t>
      </w:r>
    </w:p>
    <w:p>
      <w:pPr>
        <w:spacing w:after="0" w:line="176" w:lineRule="exact"/>
        <w:rPr>
          <w:sz w:val="24"/>
          <w:szCs w:val="24"/>
          <w:color w:val="auto"/>
        </w:rPr>
      </w:pPr>
    </w:p>
    <w:p>
      <w:pPr>
        <w:ind w:left="2760" w:right="1660" w:hanging="2752"/>
        <w:spacing w:after="0" w:line="312" w:lineRule="auto"/>
        <w:tabs>
          <w:tab w:leader="none" w:pos="264"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 to ___________________</w:t>
      </w:r>
    </w:p>
    <w:p>
      <w:pPr>
        <w:spacing w:after="0" w:line="14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0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480" w:type="dxa"/>
            <w:vAlign w:val="bottom"/>
          </w:tcPr>
          <w:p>
            <w:pPr>
              <w:spacing w:after="0"/>
              <w:rPr>
                <w:sz w:val="18"/>
                <w:szCs w:val="18"/>
                <w:color w:val="auto"/>
              </w:rPr>
            </w:pPr>
          </w:p>
        </w:tc>
        <w:tc>
          <w:tcPr>
            <w:tcW w:w="402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426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Common Stock, par value $0.01 per share</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rPr>
              <w:t>INTT</w:t>
            </w:r>
          </w:p>
        </w:tc>
        <w:tc>
          <w:tcPr>
            <w:tcW w:w="5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202" w:lineRule="exact"/>
        <w:rPr>
          <w:sz w:val="24"/>
          <w:szCs w:val="24"/>
          <w:color w:val="auto"/>
        </w:rPr>
      </w:pPr>
    </w:p>
    <w:p>
      <w:pPr>
        <w:ind w:right="14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right="2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(SS 232.405 of this chapter) during the preceding 12 months (or for such shorter period that the registrant was required to submit such files).</w:t>
      </w: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16"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692" w:right="49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040" w:space="720"/>
            <w:col w:w="4320"/>
          </w:cols>
          <w:pgMar w:left="320" w:top="692" w:right="49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80" w:space="80"/>
            <w:col w:w="9020"/>
          </w:cols>
          <w:pgMar w:left="320" w:top="692" w:right="499" w:bottom="1440" w:gutter="0" w:footer="0" w:header="0"/>
          <w:type w:val="continuous"/>
        </w:sectPr>
      </w:pPr>
    </w:p>
    <w:p>
      <w:pPr>
        <w:spacing w:after="0" w:line="1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rFonts w:ascii="Arial" w:cs="Arial" w:eastAsia="Arial" w:hAnsi="Arial"/>
          <w:sz w:val="18"/>
          <w:szCs w:val="18"/>
          <w:color w:val="auto"/>
        </w:rPr>
        <w:tab/>
        <w:t>NO</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April 30, 2020:  10,432,823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92"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3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760" w:type="dxa"/>
            <w:vAlign w:val="bottom"/>
          </w:tcPr>
          <w:p>
            <w:pPr>
              <w:spacing w:after="0"/>
              <w:rPr>
                <w:sz w:val="24"/>
                <w:szCs w:val="24"/>
                <w:color w:val="auto"/>
              </w:rPr>
            </w:pPr>
          </w:p>
        </w:tc>
        <w:tc>
          <w:tcPr>
            <w:tcW w:w="9560" w:type="dxa"/>
            <w:vAlign w:val="bottom"/>
          </w:tcPr>
          <w:p>
            <w:pPr>
              <w:ind w:left="3860"/>
              <w:spacing w:after="0"/>
              <w:rPr>
                <w:sz w:val="20"/>
                <w:szCs w:val="20"/>
                <w:color w:val="auto"/>
              </w:rPr>
            </w:pPr>
            <w:r>
              <w:rPr>
                <w:rFonts w:ascii="Arial" w:cs="Arial" w:eastAsia="Arial" w:hAnsi="Arial"/>
                <w:sz w:val="18"/>
                <w:szCs w:val="18"/>
                <w:b w:val="1"/>
                <w:bCs w:val="1"/>
                <w:color w:val="auto"/>
              </w:rPr>
              <w:t>inTEST CORPORATION</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9560" w:type="dxa"/>
            <w:vAlign w:val="bottom"/>
          </w:tcPr>
          <w:p>
            <w:pPr>
              <w:ind w:left="458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940" w:type="dxa"/>
            <w:vAlign w:val="bottom"/>
            <w:gridSpan w:val="3"/>
          </w:tcPr>
          <w:p>
            <w:pPr>
              <w:ind w:left="5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shd w:val="clear" w:color="auto" w:fill="CCEEFF"/>
          </w:tcPr>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560" w:type="dxa"/>
            <w:vAlign w:val="bottom"/>
            <w:shd w:val="clear" w:color="auto" w:fill="CCEEFF"/>
          </w:tcPr>
          <w:p>
            <w:pPr>
              <w:ind w:left="40"/>
              <w:spacing w:after="0"/>
              <w:rPr>
                <w:rFonts w:ascii="Arial" w:cs="Arial" w:eastAsia="Arial" w:hAnsi="Arial"/>
                <w:sz w:val="18"/>
                <w:szCs w:val="18"/>
                <w:b w:val="1"/>
                <w:bCs w:val="1"/>
                <w:i w:val="1"/>
                <w:iCs w:val="1"/>
                <w:u w:val="single" w:color="auto"/>
                <w:color w:val="0000EE"/>
              </w:rPr>
            </w:pPr>
            <w:hyperlink w:anchor="page3">
              <w:r>
                <w:rPr>
                  <w:rFonts w:ascii="Arial" w:cs="Arial" w:eastAsia="Arial" w:hAnsi="Arial"/>
                  <w:sz w:val="18"/>
                  <w:szCs w:val="18"/>
                  <w:b w:val="1"/>
                  <w:bCs w:val="1"/>
                  <w:i w:val="1"/>
                  <w:iCs w:val="1"/>
                  <w:u w:val="single" w:color="auto"/>
                  <w:color w:val="0000EE"/>
                </w:rPr>
                <w:t>Financial Statements</w:t>
              </w:r>
            </w:hyperlink>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March 31, 2020 (Unaudited) and December 31, 2019</w:t>
              </w:r>
            </w:hyperlink>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6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 for the three months ended March 31, 2020 and 2019</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ind w:left="40"/>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Unaudited Consolidated Statements of Comprehensive Earnings (Loss) for the three months ended March 31, 2020 and 2019</w:t>
              </w:r>
            </w:hyperlink>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6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Stockholders' Equity for the three months ended March 31, 2020 and 2019</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 for the three months ended March 31, 2020 and 2019</w:t>
              </w:r>
            </w:hyperlink>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56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22">
              <w:r>
                <w:rPr>
                  <w:rFonts w:ascii="Arial" w:cs="Arial" w:eastAsia="Arial" w:hAnsi="Arial"/>
                  <w:sz w:val="18"/>
                  <w:szCs w:val="18"/>
                  <w:b w:val="1"/>
                  <w:bCs w:val="1"/>
                  <w:i w:val="1"/>
                  <w:iCs w:val="1"/>
                  <w:u w:val="single" w:color="auto"/>
                  <w:color w:val="0000EE"/>
                </w:rPr>
                <w:t>Management's Discussion and Analysis of Financial Condition and Results of Operations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29">
              <w:r>
                <w:rPr>
                  <w:rFonts w:ascii="Arial" w:cs="Arial" w:eastAsia="Arial" w:hAnsi="Arial"/>
                  <w:sz w:val="18"/>
                  <w:szCs w:val="18"/>
                  <w:b w:val="1"/>
                  <w:bCs w:val="1"/>
                  <w:i w:val="1"/>
                  <w:iCs w:val="1"/>
                  <w:u w:val="single" w:color="auto"/>
                  <w:color w:val="0000EE"/>
                </w:rPr>
                <w:t>Quantitative and Qualitative Disclosures About Market Risk</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29">
              <w:r>
                <w:rPr>
                  <w:rFonts w:ascii="Arial" w:cs="Arial" w:eastAsia="Arial" w:hAnsi="Arial"/>
                  <w:sz w:val="18"/>
                  <w:szCs w:val="18"/>
                  <w:b w:val="1"/>
                  <w:bCs w:val="1"/>
                  <w:i w:val="1"/>
                  <w:iCs w:val="1"/>
                  <w:u w:val="single" w:color="auto"/>
                  <w:color w:val="0000EE"/>
                </w:rPr>
                <w:t>Controls and Procedures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tcPr>
          <w:p>
            <w:pPr>
              <w:ind w:left="4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OTHER INFORMATION</w:t>
              </w:r>
            </w:hyperlink>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29">
              <w:r>
                <w:rPr>
                  <w:rFonts w:ascii="Arial" w:cs="Arial" w:eastAsia="Arial" w:hAnsi="Arial"/>
                  <w:sz w:val="18"/>
                  <w:szCs w:val="18"/>
                  <w:b w:val="1"/>
                  <w:bCs w:val="1"/>
                  <w:i w:val="1"/>
                  <w:iCs w:val="1"/>
                  <w:u w:val="single" w:color="auto"/>
                  <w:color w:val="0000EE"/>
                </w:rPr>
                <w:t>Legal Proceedings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29">
              <w:r>
                <w:rPr>
                  <w:rFonts w:ascii="Arial" w:cs="Arial" w:eastAsia="Arial" w:hAnsi="Arial"/>
                  <w:sz w:val="18"/>
                  <w:szCs w:val="18"/>
                  <w:b w:val="1"/>
                  <w:bCs w:val="1"/>
                  <w:i w:val="1"/>
                  <w:iCs w:val="1"/>
                  <w:u w:val="single" w:color="auto"/>
                  <w:color w:val="0000EE"/>
                </w:rPr>
                <w:t>Risk Factors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Unregistered Sales of Equity Securities and Use of Proceeds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Defaults Upon Senior Securities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Mine Safety Disclosures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31">
              <w:r>
                <w:rPr>
                  <w:rFonts w:ascii="Arial" w:cs="Arial" w:eastAsia="Arial" w:hAnsi="Arial"/>
                  <w:sz w:val="18"/>
                  <w:szCs w:val="18"/>
                  <w:b w:val="1"/>
                  <w:bCs w:val="1"/>
                  <w:i w:val="1"/>
                  <w:iCs w:val="1"/>
                  <w:u w:val="single" w:color="auto"/>
                  <w:color w:val="0000EE"/>
                </w:rPr>
                <w:t>Other Information</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560" w:type="dxa"/>
            <w:vAlign w:val="bottom"/>
          </w:tcPr>
          <w:p>
            <w:pPr>
              <w:ind w:left="40"/>
              <w:spacing w:after="0"/>
              <w:rPr>
                <w:rFonts w:ascii="Arial" w:cs="Arial" w:eastAsia="Arial" w:hAnsi="Arial"/>
                <w:sz w:val="18"/>
                <w:szCs w:val="18"/>
                <w:b w:val="1"/>
                <w:bCs w:val="1"/>
                <w:i w:val="1"/>
                <w:iCs w:val="1"/>
                <w:u w:val="single" w:color="auto"/>
                <w:color w:val="0000EE"/>
              </w:rPr>
            </w:pPr>
            <w:hyperlink w:anchor="page32">
              <w:r>
                <w:rPr>
                  <w:rFonts w:ascii="Arial" w:cs="Arial" w:eastAsia="Arial" w:hAnsi="Arial"/>
                  <w:sz w:val="18"/>
                  <w:szCs w:val="18"/>
                  <w:b w:val="1"/>
                  <w:bCs w:val="1"/>
                  <w:i w:val="1"/>
                  <w:iCs w:val="1"/>
                  <w:u w:val="single" w:color="auto"/>
                  <w:color w:val="0000EE"/>
                </w:rPr>
                <w:t>Exhibits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320" w:type="dxa"/>
            <w:vAlign w:val="bottom"/>
            <w:gridSpan w:val="2"/>
          </w:tcPr>
          <w:p>
            <w:pPr>
              <w:spacing w:after="0"/>
              <w:rPr>
                <w:rFonts w:ascii="Arial" w:cs="Arial" w:eastAsia="Arial" w:hAnsi="Arial"/>
                <w:sz w:val="18"/>
                <w:szCs w:val="18"/>
                <w:b w:val="1"/>
                <w:bCs w:val="1"/>
                <w:i w:val="1"/>
                <w:iCs w:val="1"/>
                <w:u w:val="single" w:color="auto"/>
                <w:color w:val="0000EE"/>
              </w:rPr>
            </w:pPr>
            <w:hyperlink w:anchor="page33">
              <w:r>
                <w:rPr>
                  <w:rFonts w:ascii="Arial" w:cs="Arial" w:eastAsia="Arial" w:hAnsi="Arial"/>
                  <w:sz w:val="18"/>
                  <w:szCs w:val="18"/>
                  <w:b w:val="1"/>
                  <w:bCs w:val="1"/>
                  <w:i w:val="1"/>
                  <w:iCs w:val="1"/>
                  <w:u w:val="single" w:color="auto"/>
                  <w:color w:val="0000EE"/>
                </w:rPr>
                <w:t>Signatures</w:t>
              </w:r>
            </w:hyperlink>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7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8440" w:type="dxa"/>
            <w:vAlign w:val="bottom"/>
          </w:tcPr>
          <w:p>
            <w:pPr>
              <w:jc w:val="center"/>
              <w:ind w:left="273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4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inTEST CORPORATION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4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jc w:val="center"/>
              <w:ind w:left="2710"/>
              <w:spacing w:after="0"/>
              <w:rPr>
                <w:sz w:val="20"/>
                <w:szCs w:val="20"/>
                <w:color w:val="auto"/>
              </w:rPr>
            </w:pPr>
            <w:r>
              <w:rPr>
                <w:rFonts w:ascii="Arial" w:cs="Arial" w:eastAsia="Arial" w:hAnsi="Arial"/>
                <w:sz w:val="18"/>
                <w:szCs w:val="18"/>
                <w:color w:val="auto"/>
                <w:w w:val="87"/>
              </w:rPr>
              <w:t>(In thousands, except share and per share data)</w:t>
            </w:r>
          </w:p>
        </w:tc>
        <w:tc>
          <w:tcPr>
            <w:tcW w:w="140" w:type="dxa"/>
            <w:vAlign w:val="bottom"/>
          </w:tcPr>
          <w:p>
            <w:pPr>
              <w:spacing w:after="0"/>
              <w:rPr>
                <w:sz w:val="20"/>
                <w:szCs w:val="20"/>
                <w:color w:val="auto"/>
              </w:rPr>
            </w:pPr>
          </w:p>
        </w:tc>
        <w:tc>
          <w:tcPr>
            <w:tcW w:w="124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198"/>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$210 and $211, respectively</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24,895</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property and equipment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(5,423)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13,343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59,059</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59,715</w:t>
            </w:r>
          </w:p>
        </w:tc>
        <w:tc>
          <w:tcPr>
            <w:tcW w:w="0" w:type="dxa"/>
            <w:vAlign w:val="bottom"/>
          </w:tcPr>
          <w:p>
            <w:pPr>
              <w:spacing w:after="0"/>
              <w:rPr>
                <w:sz w:val="1"/>
                <w:szCs w:val="1"/>
                <w:color w:val="auto"/>
              </w:rPr>
            </w:pPr>
          </w:p>
        </w:tc>
      </w:tr>
      <w:tr>
        <w:trPr>
          <w:trHeight w:val="196"/>
        </w:trPr>
        <w:tc>
          <w:tcPr>
            <w:tcW w:w="8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Contingent liability for repayment of state and local grant funds received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4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$0.01 par value; 20,000,000 shares authorized; 10,450,060 and 10,413,982 shares issued,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26,256</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16,862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18,005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Treasury stock, at cost; 33,077 shares</w:t>
            </w:r>
          </w:p>
        </w:tc>
        <w:tc>
          <w:tcPr>
            <w:tcW w:w="14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59,059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59,715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inTEST CORPORATION</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180" w:type="dxa"/>
            <w:vAlign w:val="bottom"/>
          </w:tcPr>
          <w:p>
            <w:pPr>
              <w:jc w:val="center"/>
              <w:ind w:left="2970"/>
              <w:spacing w:after="0"/>
              <w:rPr>
                <w:sz w:val="20"/>
                <w:szCs w:val="20"/>
                <w:color w:val="auto"/>
              </w:rPr>
            </w:pPr>
            <w:r>
              <w:rPr>
                <w:rFonts w:ascii="Arial" w:cs="Arial" w:eastAsia="Arial" w:hAnsi="Arial"/>
                <w:sz w:val="18"/>
                <w:szCs w:val="18"/>
                <w:color w:val="auto"/>
                <w:w w:val="87"/>
              </w:rPr>
              <w:t>(In thousands, except share and per share data)</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80" w:type="dxa"/>
            <w:vAlign w:val="bottom"/>
          </w:tcPr>
          <w:p>
            <w:pPr>
              <w:jc w:val="center"/>
              <w:ind w:left="297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18,062</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9,226</w:t>
            </w:r>
          </w:p>
        </w:tc>
      </w:tr>
      <w:tr>
        <w:trPr>
          <w:trHeight w:val="20"/>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8,836</w:t>
            </w:r>
          </w:p>
        </w:tc>
      </w:tr>
      <w:tr>
        <w:trPr>
          <w:trHeight w:val="209"/>
        </w:trPr>
        <w:tc>
          <w:tcPr>
            <w:tcW w:w="8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Selling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2,374</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r>
      <w:tr>
        <w:trPr>
          <w:trHeight w:val="20"/>
        </w:trPr>
        <w:tc>
          <w:tcPr>
            <w:tcW w:w="8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w:t>
            </w:r>
          </w:p>
        </w:tc>
      </w:tr>
      <w:tr>
        <w:trPr>
          <w:trHeight w:val="209"/>
        </w:trPr>
        <w:tc>
          <w:tcPr>
            <w:tcW w:w="8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0"/>
        </w:trPr>
        <w:tc>
          <w:tcPr>
            <w:tcW w:w="8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09"/>
        </w:trPr>
        <w:tc>
          <w:tcPr>
            <w:tcW w:w="8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196"/>
        </w:trPr>
        <w:tc>
          <w:tcPr>
            <w:tcW w:w="8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10,220,853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10,385,017</w:t>
            </w:r>
          </w:p>
        </w:tc>
      </w:t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10,220,853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10,414,330</w:t>
            </w:r>
          </w:p>
        </w:tc>
      </w:tr>
      <w:tr>
        <w:trPr>
          <w:trHeight w:val="432"/>
        </w:trPr>
        <w:tc>
          <w:tcPr>
            <w:tcW w:w="8180" w:type="dxa"/>
            <w:vAlign w:val="bottom"/>
          </w:tcPr>
          <w:p>
            <w:pPr>
              <w:jc w:val="center"/>
              <w:ind w:left="29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80" w:type="dxa"/>
            <w:vAlign w:val="bottom"/>
          </w:tcPr>
          <w:p>
            <w:pPr>
              <w:jc w:val="center"/>
              <w:ind w:left="2970"/>
              <w:spacing w:after="0"/>
              <w:rPr>
                <w:sz w:val="20"/>
                <w:szCs w:val="20"/>
                <w:color w:val="auto"/>
              </w:rPr>
            </w:pPr>
            <w:r>
              <w:rPr>
                <w:rFonts w:ascii="Arial" w:cs="Arial" w:eastAsia="Arial" w:hAnsi="Arial"/>
                <w:sz w:val="18"/>
                <w:szCs w:val="18"/>
                <w:color w:val="auto"/>
                <w:w w:val="90"/>
              </w:rPr>
              <w:t>-2-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3780" w:type="dxa"/>
            <w:vAlign w:val="bottom"/>
          </w:tcPr>
          <w:p>
            <w:pPr>
              <w:spacing w:after="0"/>
              <w:rPr>
                <w:sz w:val="24"/>
                <w:szCs w:val="24"/>
                <w:color w:val="auto"/>
              </w:rPr>
            </w:pPr>
          </w:p>
        </w:tc>
        <w:tc>
          <w:tcPr>
            <w:tcW w:w="5040" w:type="dxa"/>
            <w:vAlign w:val="bottom"/>
            <w:gridSpan w:val="2"/>
          </w:tcPr>
          <w:p>
            <w:pPr>
              <w:jc w:val="center"/>
              <w:ind w:right="1270"/>
              <w:spacing w:after="0"/>
              <w:rPr>
                <w:sz w:val="20"/>
                <w:szCs w:val="20"/>
                <w:color w:val="auto"/>
              </w:rPr>
            </w:pPr>
            <w:r>
              <w:rPr>
                <w:rFonts w:ascii="Arial" w:cs="Arial" w:eastAsia="Arial" w:hAnsi="Arial"/>
                <w:sz w:val="18"/>
                <w:szCs w:val="18"/>
                <w:b w:val="1"/>
                <w:bCs w:val="1"/>
                <w:color w:val="auto"/>
                <w:w w:val="98"/>
              </w:rPr>
              <w:t>inTEST CORPORATION</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820" w:type="dxa"/>
            <w:vAlign w:val="bottom"/>
            <w:gridSpan w:val="3"/>
          </w:tcPr>
          <w:p>
            <w:pPr>
              <w:jc w:val="center"/>
              <w:ind w:left="2350"/>
              <w:spacing w:after="0"/>
              <w:rPr>
                <w:sz w:val="20"/>
                <w:szCs w:val="20"/>
                <w:color w:val="auto"/>
              </w:rPr>
            </w:pPr>
            <w:r>
              <w:rPr>
                <w:rFonts w:ascii="Arial" w:cs="Arial" w:eastAsia="Arial" w:hAnsi="Arial"/>
                <w:sz w:val="18"/>
                <w:szCs w:val="18"/>
                <w:b w:val="1"/>
                <w:bCs w:val="1"/>
                <w:color w:val="auto"/>
                <w:w w:val="99"/>
              </w:rPr>
              <w:t>CONSOLIDATED STATEMENTS OF COMPREHENSIVE EARNINGS (LOSS)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80" w:type="dxa"/>
            <w:vAlign w:val="bottom"/>
          </w:tcPr>
          <w:p>
            <w:pPr>
              <w:spacing w:after="0"/>
              <w:rPr>
                <w:sz w:val="18"/>
                <w:szCs w:val="18"/>
                <w:color w:val="auto"/>
              </w:rPr>
            </w:pPr>
          </w:p>
        </w:tc>
        <w:tc>
          <w:tcPr>
            <w:tcW w:w="5040" w:type="dxa"/>
            <w:vAlign w:val="bottom"/>
            <w:gridSpan w:val="2"/>
          </w:tcPr>
          <w:p>
            <w:pPr>
              <w:jc w:val="center"/>
              <w:ind w:right="1270"/>
              <w:spacing w:after="0"/>
              <w:rPr>
                <w:sz w:val="20"/>
                <w:szCs w:val="20"/>
                <w:color w:val="auto"/>
              </w:rPr>
            </w:pPr>
            <w:r>
              <w:rPr>
                <w:rFonts w:ascii="Arial" w:cs="Arial" w:eastAsia="Arial" w:hAnsi="Arial"/>
                <w:sz w:val="18"/>
                <w:szCs w:val="18"/>
                <w:color w:val="auto"/>
                <w:w w:val="90"/>
              </w:rPr>
              <w:t>(In thousands)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5040" w:type="dxa"/>
            <w:vAlign w:val="bottom"/>
            <w:gridSpan w:val="2"/>
          </w:tcPr>
          <w:p>
            <w:pPr>
              <w:jc w:val="center"/>
              <w:ind w:right="1270"/>
              <w:spacing w:after="0"/>
              <w:rPr>
                <w:sz w:val="20"/>
                <w:szCs w:val="20"/>
                <w:color w:val="auto"/>
              </w:rPr>
            </w:pPr>
            <w:r>
              <w:rPr>
                <w:rFonts w:ascii="Arial" w:cs="Arial" w:eastAsia="Arial" w:hAnsi="Arial"/>
                <w:sz w:val="18"/>
                <w:szCs w:val="18"/>
                <w:color w:val="auto"/>
                <w:w w:val="93"/>
              </w:rPr>
              <w:t>(Unaudited)</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37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216"/>
        </w:trPr>
        <w:tc>
          <w:tcPr>
            <w:tcW w:w="37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0"/>
        </w:trPr>
        <w:tc>
          <w:tcPr>
            <w:tcW w:w="37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Comprehensive earnings (loss)</w:t>
            </w:r>
          </w:p>
        </w:tc>
        <w:tc>
          <w:tcPr>
            <w:tcW w:w="46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(1,181)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r>
      <w:tr>
        <w:trPr>
          <w:trHeight w:val="20"/>
        </w:trPr>
        <w:tc>
          <w:tcPr>
            <w:tcW w:w="37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15"/>
          </w:tcPr>
          <w:p>
            <w:pPr>
              <w:jc w:val="center"/>
              <w:ind w:left="330"/>
              <w:spacing w:after="0"/>
              <w:rPr>
                <w:sz w:val="20"/>
                <w:szCs w:val="20"/>
                <w:color w:val="auto"/>
              </w:rPr>
            </w:pPr>
            <w:r>
              <w:rPr>
                <w:rFonts w:ascii="Arial" w:cs="Arial" w:eastAsia="Arial" w:hAnsi="Arial"/>
                <w:sz w:val="18"/>
                <w:szCs w:val="18"/>
                <w:b w:val="1"/>
                <w:bCs w:val="1"/>
                <w:color w:val="auto"/>
                <w:w w:val="98"/>
              </w:rPr>
              <w:t>inTEST CORPORATION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180" w:type="dxa"/>
            <w:vAlign w:val="bottom"/>
            <w:gridSpan w:val="25"/>
          </w:tcPr>
          <w:p>
            <w:pPr>
              <w:jc w:val="center"/>
              <w:ind w:left="199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15"/>
          </w:tcPr>
          <w:p>
            <w:pPr>
              <w:jc w:val="center"/>
              <w:ind w:left="330"/>
              <w:spacing w:after="0"/>
              <w:rPr>
                <w:sz w:val="20"/>
                <w:szCs w:val="20"/>
                <w:color w:val="auto"/>
              </w:rPr>
            </w:pPr>
            <w:r>
              <w:rPr>
                <w:rFonts w:ascii="Arial" w:cs="Arial" w:eastAsia="Arial" w:hAnsi="Arial"/>
                <w:sz w:val="18"/>
                <w:szCs w:val="18"/>
                <w:color w:val="auto"/>
                <w:w w:val="87"/>
              </w:rPr>
              <w:t>(In thousands, except share data)</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9"/>
          </w:tcPr>
          <w:p>
            <w:pPr>
              <w:jc w:val="center"/>
              <w:ind w:right="680"/>
              <w:spacing w:after="0"/>
              <w:rPr>
                <w:sz w:val="20"/>
                <w:szCs w:val="20"/>
                <w:color w:val="auto"/>
              </w:rPr>
            </w:pPr>
            <w:r>
              <w:rPr>
                <w:rFonts w:ascii="Arial" w:cs="Arial" w:eastAsia="Arial" w:hAnsi="Arial"/>
                <w:sz w:val="18"/>
                <w:szCs w:val="18"/>
                <w:color w:val="auto"/>
                <w:w w:val="93"/>
              </w:rPr>
              <w:t>(Unaudited)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8"/>
                <w:szCs w:val="18"/>
                <w:b w:val="1"/>
                <w:bCs w:val="1"/>
                <w:color w:val="auto"/>
                <w:w w:val="95"/>
              </w:rPr>
              <w:t>Three Months Ended March 31, 2020</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7"/>
            <w:vMerge w:val="restart"/>
          </w:tcPr>
          <w:p>
            <w:pPr>
              <w:ind w:left="260"/>
              <w:spacing w:after="0"/>
              <w:rPr>
                <w:sz w:val="20"/>
                <w:szCs w:val="20"/>
                <w:color w:val="auto"/>
              </w:rPr>
            </w:pPr>
            <w:r>
              <w:rPr>
                <w:rFonts w:ascii="Arial" w:cs="Arial" w:eastAsia="Arial" w:hAnsi="Arial"/>
                <w:sz w:val="18"/>
                <w:szCs w:val="18"/>
                <w:b w:val="1"/>
                <w:bCs w:val="1"/>
                <w:color w:val="auto"/>
                <w:w w:val="90"/>
              </w:rPr>
              <w:t>Common Stock</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7"/>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940" w:type="dxa"/>
            <w:vAlign w:val="bottom"/>
            <w:gridSpan w:val="5"/>
          </w:tcPr>
          <w:p>
            <w:pPr>
              <w:ind w:left="4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940" w:type="dxa"/>
            <w:vAlign w:val="bottom"/>
            <w:gridSpan w:val="5"/>
          </w:tcPr>
          <w:p>
            <w:pPr>
              <w:ind w:left="40"/>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10,413,982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26,256</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 related to</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awards</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Issuance of unvested shares of restricted stock</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58,160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unvested shares of restricted stock</w:t>
            </w:r>
          </w:p>
        </w:tc>
        <w:tc>
          <w:tcPr>
            <w:tcW w:w="1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(8,315)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40" w:type="dxa"/>
            <w:vAlign w:val="bottom"/>
            <w:gridSpan w:val="5"/>
          </w:tcPr>
          <w:p>
            <w:pPr>
              <w:jc w:val="right"/>
              <w:ind w:right="80"/>
              <w:spacing w:after="0"/>
              <w:rPr>
                <w:sz w:val="20"/>
                <w:szCs w:val="20"/>
                <w:color w:val="auto"/>
              </w:rPr>
            </w:pPr>
            <w:r>
              <w:rPr>
                <w:rFonts w:ascii="Arial" w:cs="Arial" w:eastAsia="Arial" w:hAnsi="Arial"/>
                <w:sz w:val="18"/>
                <w:szCs w:val="18"/>
                <w:color w:val="auto"/>
              </w:rPr>
              <w:t>(13,767)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Balance, March 31, 2020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10,450,060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105</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26,368</w:t>
            </w:r>
          </w:p>
        </w:tc>
        <w:tc>
          <w:tcPr>
            <w:tcW w:w="140" w:type="dxa"/>
            <w:vAlign w:val="bottom"/>
          </w:tcPr>
          <w:p>
            <w:pPr>
              <w:spacing w:after="0"/>
              <w:rPr>
                <w:sz w:val="18"/>
                <w:szCs w:val="18"/>
                <w:color w:val="auto"/>
              </w:rPr>
            </w:pPr>
          </w:p>
        </w:tc>
        <w:tc>
          <w:tcPr>
            <w:tcW w:w="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16,862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8"/>
                <w:szCs w:val="18"/>
                <w:b w:val="1"/>
                <w:bCs w:val="1"/>
                <w:color w:val="auto"/>
                <w:w w:val="95"/>
              </w:rPr>
              <w:t>Three Months Ended March 31, 2019</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7"/>
            <w:vMerge w:val="restart"/>
          </w:tcPr>
          <w:p>
            <w:pPr>
              <w:ind w:left="280"/>
              <w:spacing w:after="0"/>
              <w:rPr>
                <w:sz w:val="20"/>
                <w:szCs w:val="20"/>
                <w:color w:val="auto"/>
              </w:rPr>
            </w:pPr>
            <w:r>
              <w:rPr>
                <w:rFonts w:ascii="Arial" w:cs="Arial" w:eastAsia="Arial" w:hAnsi="Arial"/>
                <w:sz w:val="18"/>
                <w:szCs w:val="18"/>
                <w:b w:val="1"/>
                <w:bCs w:val="1"/>
                <w:color w:val="auto"/>
                <w:w w:val="89"/>
              </w:rPr>
              <w:t>Common Stock</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gridSpan w:val="7"/>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10,523,035</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105</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26,513</w:t>
            </w:r>
          </w:p>
        </w:tc>
        <w:tc>
          <w:tcPr>
            <w:tcW w:w="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15,683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 related to</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awards</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Issuance of unvested shares of restricted stock</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80,300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Arial" w:cs="Arial" w:eastAsia="Arial" w:hAnsi="Arial"/>
                <w:sz w:val="18"/>
                <w:szCs w:val="18"/>
                <w:color w:val="auto"/>
              </w:rPr>
              <w:t>Balance, March 31, 2019</w:t>
            </w:r>
          </w:p>
        </w:tc>
        <w:tc>
          <w:tcPr>
            <w:tcW w:w="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10,603,335</w:t>
            </w:r>
          </w:p>
        </w:tc>
        <w:tc>
          <w:tcPr>
            <w:tcW w:w="100" w:type="dxa"/>
            <w:vAlign w:val="bottom"/>
          </w:tcPr>
          <w:p>
            <w:pPr>
              <w:spacing w:after="0"/>
              <w:rPr>
                <w:sz w:val="18"/>
                <w:szCs w:val="18"/>
                <w:color w:val="auto"/>
              </w:rPr>
            </w:pPr>
          </w:p>
        </w:tc>
        <w:tc>
          <w:tcPr>
            <w:tcW w:w="46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106</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26,695</w:t>
            </w:r>
          </w:p>
        </w:tc>
        <w:tc>
          <w:tcPr>
            <w:tcW w:w="2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16,821</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44,118</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22"/>
          </w:tcPr>
          <w:p>
            <w:pPr>
              <w:ind w:left="320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8"/>
              </w:rPr>
              <w:t>inTEST CORPORATION</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tcPr>
          <w:p>
            <w:pPr>
              <w:jc w:val="center"/>
              <w:ind w:left="305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(loss) to net cash used in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earnout for 2018 related to Ambrell acquisition</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(10,048)</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loss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receivable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r>
      <w:tr>
        <w:trPr>
          <w:trHeight w:val="216"/>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Accrued wages and benefits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r>
      <w:tr>
        <w:trPr>
          <w:trHeight w:val="216"/>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professional fees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r>
      <w:tr>
        <w:trPr>
          <w:trHeight w:val="216"/>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sales commissions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r>
      <w:tr>
        <w:trPr>
          <w:trHeight w:val="216"/>
        </w:trPr>
        <w:tc>
          <w:tcPr>
            <w:tcW w:w="8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16"/>
        </w:trPr>
        <w:tc>
          <w:tcPr>
            <w:tcW w:w="8100" w:type="dxa"/>
            <w:vAlign w:val="bottom"/>
          </w:tcPr>
          <w:p>
            <w:pPr>
              <w:ind w:left="6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8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(9,475)</w:t>
            </w:r>
          </w:p>
        </w:tc>
      </w:tr>
      <w:tr>
        <w:trPr>
          <w:trHeight w:val="210"/>
        </w:trPr>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0"/>
        </w:trPr>
        <w:tc>
          <w:tcPr>
            <w:tcW w:w="8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10"/>
        </w:trPr>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09"/>
        </w:trPr>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all activities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17,861</w:t>
            </w:r>
          </w:p>
        </w:tc>
      </w:tr>
      <w:tr>
        <w:trPr>
          <w:trHeight w:val="20"/>
        </w:trPr>
        <w:tc>
          <w:tcPr>
            <w:tcW w:w="8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w:t>
            </w:r>
          </w:p>
        </w:tc>
      </w:tr>
      <w:tr>
        <w:trPr>
          <w:trHeight w:val="196"/>
        </w:trPr>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Domestic and foreign income taxes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66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which are also our reportable segments: Thermal Products ("Thermal") and Electromechanical Semiconductor Products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 owned subsidiaries.</w:t>
      </w:r>
    </w:p>
    <w:p>
      <w:pPr>
        <w:spacing w:after="0" w:line="194" w:lineRule="exact"/>
        <w:rPr>
          <w:rFonts w:ascii="Arial" w:cs="Arial" w:eastAsia="Arial" w:hAnsi="Arial"/>
          <w:sz w:val="18"/>
          <w:szCs w:val="18"/>
          <w:b w:val="1"/>
          <w:bCs w:val="1"/>
          <w:color w:val="auto"/>
        </w:rPr>
      </w:pPr>
    </w:p>
    <w:p>
      <w:pPr>
        <w:ind w:left="6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Corporation (“Ambrell”) in May 2017, our Thermal segment also sells into the consumer products packaging, fiber optics and other sectors within the broader industrial market, and into the wafer processing sector within the broader semiconductor market.</w:t>
      </w:r>
    </w:p>
    <w:p>
      <w:pPr>
        <w:spacing w:after="0" w:line="194" w:lineRule="exact"/>
        <w:rPr>
          <w:rFonts w:ascii="Arial" w:cs="Arial" w:eastAsia="Arial" w:hAnsi="Arial"/>
          <w:sz w:val="18"/>
          <w:szCs w:val="18"/>
          <w:b w:val="1"/>
          <w:bCs w:val="1"/>
          <w:color w:val="auto"/>
        </w:rPr>
      </w:pPr>
    </w:p>
    <w:p>
      <w:pPr>
        <w:ind w:left="6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rFonts w:ascii="Arial" w:cs="Arial" w:eastAsia="Arial" w:hAnsi="Arial"/>
          <w:sz w:val="18"/>
          <w:szCs w:val="18"/>
          <w:b w:val="1"/>
          <w:bCs w:val="1"/>
          <w:color w:val="auto"/>
        </w:rPr>
      </w:pPr>
    </w:p>
    <w:p>
      <w:pPr>
        <w:ind w:left="6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ATE and wafer processing sectors within the broader semiconductor market), and “Non-Semiconductor” (which includes all of the other markets we serve). Starting in the second quarter of 2019, we began referring to the broader semiconductor market, including the ATE and wafer processing sectors within that market, as the “Semi Market.” All other markets are designated as “Multimarket.” The Semi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rFonts w:ascii="Arial" w:cs="Arial" w:eastAsia="Arial" w:hAnsi="Arial"/>
          <w:sz w:val="18"/>
          <w:szCs w:val="18"/>
          <w:b w:val="1"/>
          <w:bCs w:val="1"/>
          <w:color w:val="auto"/>
        </w:rPr>
      </w:pPr>
    </w:p>
    <w:p>
      <w:pPr>
        <w:ind w:left="660" w:right="1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early January 2020, a human infection originating in China was traced to a novel strain of coronavirus, referred to as COVID-19. COVID-19 has subsequently spread to other parts of the world, including the U.S. and Europe, and has caused unprecedented disruptions in the global economy as efforts to contain the spread of COVID-19 have intensified. On March 11, 2020, the World Health Organization (“WHO”) officially declared COVID-19 a pandemic. Our business has been, and will continue to be, adversely affected by the COVID-19 pandemic. Since March 17, 2020, several states, including all of the states in which we have manufacturing facilities, have instituted “shelter-in place” orders as well as guidance in response to the COVID-19 pandemic and the need to contain it. Currently, all of our operations have been deemed “critical and essential business operations” under the various governmental COVID-19 mandates which has allowed us to continue to operate our business with certain modifications as discussed below.</w:t>
      </w:r>
    </w:p>
    <w:p>
      <w:pPr>
        <w:spacing w:after="0" w:line="178" w:lineRule="exact"/>
        <w:rPr>
          <w:rFonts w:ascii="Arial" w:cs="Arial" w:eastAsia="Arial" w:hAnsi="Arial"/>
          <w:sz w:val="18"/>
          <w:szCs w:val="18"/>
          <w:b w:val="1"/>
          <w:bCs w:val="1"/>
          <w:color w:val="auto"/>
        </w:rPr>
      </w:pPr>
    </w:p>
    <w:p>
      <w:pPr>
        <w:ind w:left="660" w:right="1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impact of the COVID-19 pandemic on our operations is intensified because it is occurring at a time when our business operations have already been negatively affected by a global downturn in the Semi Market. The Semi Market, from which approximately half of our net revenues are derived, has been in a cyclical downturn since the beginning of 2019. This downturn has resulted in significant declines in our net revenues from the Semi Market and contributed to the net loss we recorded in the first quarter of 2020 of $1,143. Our net revenues from the Semi Market for the first quarter of 2020 totaled $5,011 compared to $10,111 in the first quarter of 2019, when the downturn began. We had started to see indications that the downturn was coming to an end and that the beginning of the next cyclical upturn in the Semi Market was imminent, but the COVID-19 pandemic appears to be impacting this timing. We currently expect that the recovery in the Semi Market may be delayed by as many as two or more quarters. During 2019, we made adjustments to reduce our fixed cost structure, which included staff reductions and limits on all discretionary spending. As a result of the expected delay in the Semi Market recovery, we have been evaluating additional actions to further reduce our fixed cost structure with the goal of limiting future losses and maintaining an adequate level of liquidity to operate our business. To date, these additional actions have included further staff reductions, the temporary shutdown of our EMS manufacturing facility in Fremont, California in late March and the temporary closure of our Thermal segment manufacturing facility in Mansfield, Massachusetts for a two-week period at the beginning of April. As discussed further in Notes 8 and 13, on April 10, 2020, we entered into a Loan and Security Agreement (the “Agreement”) with M&amp;T Bank (“M&amp;T”). Under the terms of the Agreement, M&amp;T has provided us with a $7,500 revolving credit facility. This revolving credit facility was put in place to provide us with additional liquidity in response to the current business environment as a result of the COVID-19 pandemic.</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00"/>
          </w:cols>
          <w:pgMar w:left="320" w:top="125" w:right="379" w:bottom="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As of the date of this filing, our facilities in California and Massachusetts have re-opened and all our other facilities, with the exception of our sales office in Singapore, have remained open. While we do not currently have any further plans for facility closures, if the current pace of the COVID-19 pandemic cannot be sufficiently slowed and the spread of the virus is not contained, our business operations could be delayed or interrupted. In addition, the aftermarket service and support that we provide to our customers has been, and we expect will continue to be, impacted by the COVID-19 pandemic due to travel restrictions and limitations on visitors allowed into customer facilities, which has resulted in some of these activities being reduced or suspended. Therefore, the net revenues associated with these aftermarket service and support activities, which typically range from 8% to 10% of our consolidated net revenues, may decline. We expect that government and health authorities may announce new or extend existing restrictions, which could require us to make further adjustments to our operations in order to comply with any such restrictions. These adjustments to our operations could include additional facility closures in the future if demand slows down, which could have a material negative impact on our business, results of operations and financial condition. The funds we may draw down from our revolving credit facility under the Agreement may not be sufficient to prevent the need to take further actions such as staff reductions, facility closures or other salary and benefits adjustments for remaining employees. To the extent that the COVID-19 pandemic may have a negative impact on our operations, as a result of our current level of working capital as well as the availability of the revolving credit facility under the Agreement, we currently expect to have sufficient liquidity to operate our business throughout the balance of 2020, as further described in this report.</w:t>
      </w:r>
    </w:p>
    <w:p>
      <w:pPr>
        <w:spacing w:after="0" w:line="171"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Generally, global supply chains and the timely availability of products have been, and will continue to be, materially disrupted by quarantines, factory slowdowns or shutdowns, border closings and travel restrictions resulting from the COVID-19 pandemic. We have experienced, and expect that we may continue to experience, price increases and/or lack of availability from our normal suppliers for the materials needed to produce our products in a timely manner and/or with the level of margins we typically expect to achieve. We are working to mitigate and address these delays and price increases, but there can be no assurance that we will not experience delays or price increases in the future which could have a material negative impact on our business, results of operations and financial condition.</w:t>
      </w:r>
    </w:p>
    <w:p>
      <w:pPr>
        <w:spacing w:after="0" w:line="178" w:lineRule="exact"/>
        <w:rPr>
          <w:sz w:val="20"/>
          <w:szCs w:val="20"/>
          <w:color w:val="auto"/>
        </w:rPr>
      </w:pPr>
    </w:p>
    <w:p>
      <w:pPr>
        <w:ind w:left="660" w:right="100"/>
        <w:spacing w:after="0" w:line="290" w:lineRule="auto"/>
        <w:rPr>
          <w:sz w:val="20"/>
          <w:szCs w:val="20"/>
          <w:color w:val="auto"/>
        </w:rPr>
      </w:pPr>
      <w:r>
        <w:rPr>
          <w:rFonts w:ascii="Arial" w:cs="Arial" w:eastAsia="Arial" w:hAnsi="Arial"/>
          <w:sz w:val="16"/>
          <w:szCs w:val="16"/>
          <w:color w:val="auto"/>
        </w:rPr>
        <w:t>We have implemented workplace safeguards to protect and ensure the health and well-being of our employees. A significant number of employees have been authorized to work from home and have been provided with the tools and technology necessary to do so. However, the process of working remotely may result in these employees not being as effective or responsive to our customers’ needs as they would be under more normal conditions. This could result in lost business opportunities or have other negative impacts on our business. Remaining employees in our facilities are following WHO and Centers for Disease Control and Prevention (“CDC”) recommended safety practices, as well as state and local directives, but there can be no assurances that we can successfully avoid one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65" w:lineRule="exact"/>
        <w:rPr>
          <w:sz w:val="20"/>
          <w:szCs w:val="20"/>
          <w:color w:val="auto"/>
        </w:rPr>
      </w:pPr>
    </w:p>
    <w:p>
      <w:pPr>
        <w:ind w:left="660" w:right="40"/>
        <w:spacing w:after="0" w:line="275" w:lineRule="auto"/>
        <w:rPr>
          <w:sz w:val="20"/>
          <w:szCs w:val="20"/>
          <w:color w:val="auto"/>
        </w:rPr>
      </w:pPr>
      <w:r>
        <w:rPr>
          <w:rFonts w:ascii="Arial" w:cs="Arial" w:eastAsia="Arial" w:hAnsi="Arial"/>
          <w:sz w:val="17"/>
          <w:szCs w:val="17"/>
          <w:color w:val="auto"/>
        </w:rPr>
        <w:t>The duration of any business disruption and related financial impact cannot be reasonably estimated at this time but may materially affect our ability to operate our business and result in additional costs. The extent to which the COVID-19 pandemic may impact our operating results, financial condition, and liquidity will depend on future developments, which are highly uncertain and cannot be predicted as of the time of this filing, including new information that may emerge concerning the severity of COVID-19 and steps taken to contain COVID-19 or treat its impact, among others. The adverse effects of the COVID-19 pandemic on our business could be material in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right="5880" w:hanging="652"/>
        <w:spacing w:after="0" w:line="503"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6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6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2019 (“2019 Form 10-K”) filed on March 23, 2020 with the Securities and Exchange Commission.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660" w:right="640"/>
        <w:spacing w:after="0" w:line="263"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three months ended March 31, 2020 other than those described in Note 1 under “COVID-19 Pandemic” and in Note 13.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92"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5"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660" w:right="80"/>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78"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Nature of Products and Services</w:t>
      </w:r>
    </w:p>
    <w:p>
      <w:pPr>
        <w:spacing w:after="0" w:line="23"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We are a global supplier of precision-engineered solutions for use in manufacturing and testing across a wide range of markets including automotive, defense/aerospace, energy, industrial, semiconductor and telecommunications. We sell thermal management products including ThermoStreams, ThermoChambers and process chillers, which we sell under our Temptronic, Sigma and Thermonics product lines, and Ambrell’s precision induction heating systems, including EkoHeat and EasyHeat products. We sell semiconductor ATE interface solutions which include manipulators, docking hardware and electrical interface products. We provide post-warranty service for the equipment we sell. We sell semiconductor ATE interface solutions and certain thermal management products to the Semi Market. We also sell our thermal management products to various other markets including the automotive, defense/aerospace, energy, industrial and telecommunications markets.</w:t>
      </w:r>
    </w:p>
    <w:p>
      <w:pPr>
        <w:spacing w:after="0" w:line="168"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Types of Contracts with Customers</w:t>
      </w:r>
    </w:p>
    <w:p>
      <w:pPr>
        <w:spacing w:after="0" w:line="23" w:lineRule="exact"/>
        <w:rPr>
          <w:sz w:val="20"/>
          <w:szCs w:val="20"/>
          <w:color w:val="auto"/>
        </w:rPr>
      </w:pPr>
    </w:p>
    <w:p>
      <w:pPr>
        <w:ind w:left="660"/>
        <w:spacing w:after="0" w:line="292"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3" w:lineRule="exact"/>
        <w:rPr>
          <w:sz w:val="20"/>
          <w:szCs w:val="20"/>
          <w:color w:val="auto"/>
        </w:rPr>
      </w:pPr>
    </w:p>
    <w:p>
      <w:pPr>
        <w:ind w:left="660" w:right="200"/>
        <w:spacing w:after="0" w:line="273"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6"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3"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Notes 4 and 12 for further information about our revenue from contracts with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$171 and $107 for the three months ended March 31, 2020 and 2019,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We account for leases in accordance with ASC Topic 842 (Leases) which was effective for us as of January 1, 2019. Upon adoption of ASC Topic 842, we elected the package of practical expedients which included the grandfathering of the lease classification that had been made under prior guidance and, accordingly, we did not re-evaluate any of our leases for classification purposes in connection with the implementation of ASC Topic 842. All our lease contracts are still being treated as operating leases. We do not currently have any lease contracts that meet the criteria to be categorized as financing leases. We did not elect the hindsight practical expedient and therefore did not reevaluate the lease terms that we used under prior guidance. The implementation of ASC Topic 842 had a significant impact on our consolidated balance sheet as a result of recording right-of-use assets and lease liabilities for all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ASC Topic 842 did not have a significant impact on our pattern of expense recognition for any of our multi-year leases.</w:t>
      </w:r>
    </w:p>
    <w:p>
      <w:pPr>
        <w:spacing w:after="0" w:line="168" w:lineRule="exact"/>
        <w:rPr>
          <w:sz w:val="20"/>
          <w:szCs w:val="20"/>
          <w:color w:val="auto"/>
        </w:rPr>
      </w:pPr>
    </w:p>
    <w:p>
      <w:pPr>
        <w:ind w:left="660" w:right="140"/>
        <w:spacing w:after="0" w:line="270" w:lineRule="auto"/>
        <w:rPr>
          <w:sz w:val="20"/>
          <w:szCs w:val="20"/>
          <w:color w:val="auto"/>
        </w:rPr>
      </w:pPr>
      <w:r>
        <w:rPr>
          <w:rFonts w:ascii="Arial" w:cs="Arial" w:eastAsia="Arial" w:hAnsi="Arial"/>
          <w:sz w:val="17"/>
          <w:szCs w:val="17"/>
          <w:color w:val="auto"/>
        </w:rPr>
        <w:t>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the economic benefits from the use of the asset as well as decision-making authority over how the asset will be used. Leases are classified as either operating leases or finance leases based on the guidance in ASC 842. Operating leases are included in operating lease right-of-use (“ROU”) assets and operating lease liabilities in our consolidated balance sheets. Finance leases are included in property and equipment and financing lease liabilities. We do not currently have any finance leases. We do not have embedded leases nor do we have any initial direct costs related to our lease contracts.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jc w:val="both"/>
        <w:ind w:left="660" w:right="20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right of use assets is presented separately from the change in operating lease liabilities and is included in Depreciation and Amortization in our consolidated statements of cash flows.</w:t>
      </w:r>
    </w:p>
    <w:p>
      <w:pPr>
        <w:spacing w:after="0" w:line="184"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7 for further disclosures regarding our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Proceeds</w:t>
      </w:r>
    </w:p>
    <w:p>
      <w:pPr>
        <w:spacing w:after="0" w:line="225"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In connection with leasing a new facility in Rochester, New York, which our subsidiary, Ambrell, occupied in May 2018, we entered into agreements with the city of Rochester and the state of New York under which we may receive grants totaling up to $550 to help offset a portion of the cost of the leasehold improvements we have made to this facility. In exchange for the funds we may receive under these agreements, we are required to create and maintain specified levels of employment in this location through various dates ending in 2023. If we fail to meet these employment targets, we may be required to repay a proportionate share of the proceeds. As of March 31, 2020, we have received $463 in grant funds. We do not expect to receive the remaining $87 of grant funds, as we currently do not expect to increase our number of employees to the level required to receive these funds prior to the expiration of the term of the agreement. As of December 31, 2019, we were not in compliance with the employment targets as specified in the grant agreement with the city of Rochester. We applied for and received a waiver of this requirement for the year ended December 31, 2019. As of March 31, 2020, we are still not in compliance with these employment targets. We have until December 31, 2020 to come into compliance with the targets as outlined in the waiver received for the year ended December 31, 2019. If we do not achieve compliance, we will need to apply for an additional waiver or we may be required to repay a proportionate share of the proceeds. We have recorded the amounts received under these agreements as a contingent liability on our balance sheet. As time passes, portions of the proceeds will no longer be subject to repayment if we have met the employment requirements of the agreements. Amounts that we are irrevocably entitled to keep will be reclassified to deferred revenue and amortized to income on a straight-line basis over the remaining lease term for the Rochester facility.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left="660" w:right="18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6"/>
              </w:rPr>
              <w:t>March,</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10,220,853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10,385,017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Potentially dilutive securities: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Unvested shares of restricted stock and employee stock options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29,313</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10,220,853</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10,414,330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Average number of potentially dilutive securities excluded from calculation</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685,667</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284,240</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Effect of Recently Issued Amendments to Authoritative Accounting Guidance</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60"/>
        <w:spacing w:after="0" w:line="290"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165" w:lineRule="exact"/>
        <w:rPr>
          <w:sz w:val="20"/>
          <w:szCs w:val="20"/>
          <w:color w:val="auto"/>
        </w:rPr>
      </w:pPr>
    </w:p>
    <w:p>
      <w:pPr>
        <w:ind w:left="660" w:right="220"/>
        <w:spacing w:after="0" w:line="257" w:lineRule="auto"/>
        <w:rPr>
          <w:sz w:val="20"/>
          <w:szCs w:val="20"/>
          <w:color w:val="auto"/>
        </w:rPr>
      </w:pPr>
      <w:r>
        <w:rPr>
          <w:rFonts w:ascii="Arial" w:cs="Arial" w:eastAsia="Arial" w:hAnsi="Arial"/>
          <w:sz w:val="18"/>
          <w:szCs w:val="18"/>
          <w:color w:val="auto"/>
        </w:rPr>
        <w:t>In December 2019, the FASB issued amendments to the accounting for income taxes, which add new guidance to simplify the accounting for income taxes by removing certain exceptions to the general principles in ASC Topic 740 (Income Taxes) and changing the accounting for certain income tax transactions. The amendments are effective for us as of January 1, 2021. Early adoption is permitted. We plan to adopt the amendments when they become effective for us on January 1, 2021. We do not expect these amendments to have a material impact on our consolidated financial statements.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660" w:right="2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our goodwill and intangible assets are allocated to our Thermal segment.</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Goodwill totaled $13,738 at both March 31, 2020 and December 31, 2019 and was comprised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Sigma</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Thermonics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9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Ambrell</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40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the amount of the carrying value of finite-lived intangible assets for the three months ended March 31, 2020 are as follows: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w:t>
            </w:r>
          </w:p>
        </w:tc>
      </w:tr>
      <w:tr>
        <w:trPr>
          <w:trHeight w:val="413"/>
        </w:trPr>
        <w:tc>
          <w:tcPr>
            <w:tcW w:w="860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w w:val="92"/>
              </w:rPr>
              <w:t>The following tables provide further detail about our intangible assets as of March 31, 2020 and December 31, 2019:</w:t>
            </w:r>
          </w:p>
        </w:tc>
        <w:tc>
          <w:tcPr>
            <w:tcW w:w="6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Accumulated</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Amortization</w:t>
            </w: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10,480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4,079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r>
      <w:tr>
        <w:trPr>
          <w:trHeight w:val="216"/>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6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18,790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13,343</w:t>
            </w: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December 31, 2019</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Accumulated</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Amortization</w:t>
            </w: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10,480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3,805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r>
      <w:tr>
        <w:trPr>
          <w:trHeight w:val="216"/>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6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18,790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40"/>
        <w:spacing w:after="0" w:line="263"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4"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Total amortization expense for our finite-lived intangible assets was $311 and $317, respectively, for the three months ended March 31, 2020 and 2019. The following table sets forth the estimated annual amortization expense for each of the next five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6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2021</w:t>
            </w:r>
          </w:p>
        </w:tc>
        <w:tc>
          <w:tcPr>
            <w:tcW w:w="6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2023</w:t>
            </w:r>
          </w:p>
        </w:tc>
        <w:tc>
          <w:tcPr>
            <w:tcW w:w="6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EEFF"/>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780" w:type="dxa"/>
            <w:vAlign w:val="bottom"/>
          </w:tcPr>
          <w:p>
            <w:pPr>
              <w:jc w:val="right"/>
              <w:ind w:right="461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5" w:right="259" w:bottom="123"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Assessment for Impairment of Goodwill and Long-Lived Assets</w:t>
      </w:r>
    </w:p>
    <w:p>
      <w:pPr>
        <w:spacing w:after="0" w:line="225" w:lineRule="exact"/>
        <w:rPr>
          <w:sz w:val="20"/>
          <w:szCs w:val="20"/>
          <w:color w:val="auto"/>
        </w:rPr>
      </w:pPr>
    </w:p>
    <w:p>
      <w:pPr>
        <w:ind w:left="660" w:right="160"/>
        <w:spacing w:after="0" w:line="285" w:lineRule="auto"/>
        <w:rPr>
          <w:sz w:val="20"/>
          <w:szCs w:val="20"/>
          <w:color w:val="auto"/>
        </w:rPr>
      </w:pPr>
      <w:r>
        <w:rPr>
          <w:rFonts w:ascii="Arial" w:cs="Arial" w:eastAsia="Arial" w:hAnsi="Arial"/>
          <w:sz w:val="16"/>
          <w:szCs w:val="16"/>
          <w:color w:val="auto"/>
        </w:rPr>
        <w:t>As discussed in Note 2, goodwill is assessed for impairment annually in the fourth quarter on a reporting unit basis, or more frequently when events and circumstances occur indicating that the recorded goodwill may be impaired. Long-lived assets are assessed for impairment whenever events or changes in business circumstances indicate that the carrying amount of the assets may not be fully recoverable or that the useful lives of these assets are no longer appropriate. As a result of recent market conditions and trends, including the significant impact of the ongoing COVID-19 pandemic on the global economy, we performed a qualitative review of facts and circumstances to determine whether it was more likely than not that our goodwill or long-lived assets were impaired and if, as a result, a quantitative impairment assessment was required to be performed as of March 31, 2020. Our review included identifying and weighting the significant factors that have impacted our business operations in recent months, both positively and negatively. We considered the nature of these factors, including whether they were ongoing and related to our core business and markets, or non-recurring and reflected macro-economic or global events that are not directly related to our core business and markets. As a result of our qualitative review, we determined that is was more likely than not that our goodwill and long-lived assets were not impaired and, therefore, no quantitative assessment for impairment was required and, thus not performed, as of March 31, 2020. As a result of the ongoing uncertainty surrounding the impact of the COVID-19 pandemic on our operations, we expect to perform similar qualitative reviews at various points throughout the balance of 2020. There can be no assurance that we will be able to continue to conclude that it is more likely than not that our goodwill and long-lived assets are not impaired. We may determine that we need to perform a quantitative assessment for impairment at some point prior to the fourth quarter, when our annual assessment typically occurs. Such a quantitative assessment could result in a determination that an impairment exists which would result in recording an impairment charge. The amount of any such impairment charge could be material. Any future impairment charge recorded could materially adversely impact our balance sheet and results of operations and could result in our being unable to borrow funds that would otherwise be available under our revolving credit facility discussed in Notes 1, 8 and 13.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End user</w:t>
            </w:r>
          </w:p>
        </w:tc>
        <w:tc>
          <w:tcPr>
            <w:tcW w:w="3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9,922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16,037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r>
      <w:tr>
        <w:trPr>
          <w:trHeight w:val="20"/>
        </w:trPr>
        <w:tc>
          <w:tcPr>
            <w:tcW w:w="522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11,230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18,062</w:t>
            </w:r>
          </w:p>
        </w:tc>
      </w:tr>
      <w:tr>
        <w:trPr>
          <w:trHeight w:val="20"/>
        </w:trPr>
        <w:tc>
          <w:tcPr>
            <w:tcW w:w="5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3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Thermal process</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6,009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production test</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Service/other</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r>
      <w:tr>
        <w:trPr>
          <w:trHeight w:val="20"/>
        </w:trPr>
        <w:tc>
          <w:tcPr>
            <w:tcW w:w="5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22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18,062</w:t>
            </w:r>
          </w:p>
        </w:tc>
      </w:tr>
      <w:tr>
        <w:trPr>
          <w:trHeight w:val="197"/>
        </w:trPr>
        <w:tc>
          <w:tcPr>
            <w:tcW w:w="5220" w:type="dxa"/>
            <w:vAlign w:val="bottom"/>
            <w:tcBorders>
              <w:top w:val="single" w:sz="8" w:color="CCEEFF"/>
            </w:tcBorders>
          </w:tcPr>
          <w:p>
            <w:pPr>
              <w:spacing w:after="0"/>
              <w:rPr>
                <w:sz w:val="17"/>
                <w:szCs w:val="17"/>
                <w:color w:val="auto"/>
              </w:rPr>
            </w:pPr>
          </w:p>
        </w:tc>
        <w:tc>
          <w:tcPr>
            <w:tcW w:w="27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Semiconductor</w:t>
            </w:r>
          </w:p>
        </w:tc>
        <w:tc>
          <w:tcPr>
            <w:tcW w:w="3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5,011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10,111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Defense/aerospace</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non-semiconductor markets</w:t>
            </w: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0"/>
        </w:trPr>
        <w:tc>
          <w:tcPr>
            <w:tcW w:w="5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18,062</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not a significant change in the amount of the allowance for doubtful accounts for the three months ended March 31, 2020.</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During the three months ended March 31, 2020, no customer accounted for 10% or more of our consolidated net revenues. During the three months ended March 31, 2019, Texas Instruments Incorporated accounted for 16% of our consolidated net revenues. While both of our segments sold to this customer, these revenues were primarily generated by our EMS segment. No other customers accounted for 10% or more of our consolidated net revenues during the three months ended March 31, 2019.</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held at March 31, 2020 and December 31, 2019 were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7722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Inventory consigned to others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7227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inventories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5,471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5,369</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7,720</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63" w:lineRule="exact"/>
        <w:rPr>
          <w:sz w:val="20"/>
          <w:szCs w:val="20"/>
          <w:color w:val="auto"/>
        </w:rPr>
      </w:pPr>
    </w:p>
    <w:p>
      <w:pPr>
        <w:sectPr>
          <w:pgSz w:w="11900" w:h="16838" w:orient="portrait"/>
          <w:cols w:equalWidth="0" w:num="2">
            <w:col w:w="7940" w:space="720"/>
            <w:col w:w="2660"/>
          </w:cols>
          <w:pgMar w:left="320" w:top="125" w:right="259" w:bottom="1440" w:gutter="0" w:footer="0" w:header="0"/>
        </w:sectPr>
      </w:pPr>
    </w:p>
    <w:p>
      <w:pPr>
        <w:spacing w:after="0" w:line="29" w:lineRule="exact"/>
        <w:rPr>
          <w:sz w:val="20"/>
          <w:szCs w:val="20"/>
          <w:color w:val="auto"/>
        </w:rPr>
      </w:pPr>
    </w:p>
    <w:p>
      <w:pPr>
        <w:ind w:left="660" w:right="460"/>
        <w:spacing w:after="0" w:line="308" w:lineRule="auto"/>
        <w:rPr>
          <w:sz w:val="20"/>
          <w:szCs w:val="20"/>
          <w:color w:val="auto"/>
        </w:rPr>
      </w:pPr>
      <w:r>
        <w:rPr>
          <w:rFonts w:ascii="Arial" w:cs="Arial" w:eastAsia="Arial" w:hAnsi="Arial"/>
          <w:sz w:val="17"/>
          <w:szCs w:val="17"/>
          <w:color w:val="auto"/>
        </w:rPr>
        <w:t>We lease our offices, warehouse facilities and certain equipment under non-cancellable operating leases which expire at various dates through 2028. Total operating lease and short-term lease costs for the three months ended March 31, 2020 and 2019 were as follows: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8"/>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Short-term lease cost</w:t>
            </w:r>
          </w:p>
        </w:tc>
        <w:tc>
          <w:tcPr>
            <w:tcW w:w="2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418"/>
        </w:trPr>
        <w:tc>
          <w:tcPr>
            <w:tcW w:w="6840" w:type="dxa"/>
            <w:vAlign w:val="bottom"/>
          </w:tcPr>
          <w:p>
            <w:pPr>
              <w:spacing w:after="0"/>
              <w:rPr>
                <w:sz w:val="20"/>
                <w:szCs w:val="20"/>
                <w:color w:val="auto"/>
              </w:rPr>
            </w:pPr>
            <w:r>
              <w:rPr>
                <w:rFonts w:ascii="Arial" w:cs="Arial" w:eastAsia="Arial" w:hAnsi="Arial"/>
                <w:sz w:val="18"/>
                <w:szCs w:val="18"/>
                <w:color w:val="auto"/>
              </w:rPr>
              <w:t>The following is additional information about our leases as of March 31, 2020:</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to</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4.8%</w:t>
            </w:r>
          </w:p>
        </w:tc>
      </w:tr>
      <w:tr>
        <w:trPr>
          <w:trHeight w:val="432"/>
        </w:trPr>
        <w:tc>
          <w:tcPr>
            <w:tcW w:w="6840" w:type="dxa"/>
            <w:vAlign w:val="bottom"/>
          </w:tcPr>
          <w:p>
            <w:pPr>
              <w:spacing w:after="0"/>
              <w:rPr>
                <w:sz w:val="20"/>
                <w:szCs w:val="20"/>
                <w:color w:val="auto"/>
              </w:rPr>
            </w:pPr>
            <w:r>
              <w:rPr>
                <w:rFonts w:ascii="Arial" w:cs="Arial" w:eastAsia="Arial" w:hAnsi="Arial"/>
                <w:sz w:val="18"/>
                <w:szCs w:val="18"/>
                <w:color w:val="auto"/>
              </w:rPr>
              <w:t>Maturities of lease liabilities as of March 31, 2020 were as follows:</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1,168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1,252</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1,140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1,012</w:t>
            </w:r>
          </w:p>
        </w:tc>
      </w:tr>
      <w:tr>
        <w:trPr>
          <w:trHeight w:val="20"/>
        </w:trPr>
        <w:tc>
          <w:tcPr>
            <w:tcW w:w="6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6,767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r>
      <w:tr>
        <w:trPr>
          <w:trHeight w:val="20"/>
        </w:trPr>
        <w:tc>
          <w:tcPr>
            <w:tcW w:w="6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5,947</w:t>
            </w:r>
          </w:p>
        </w:tc>
      </w:tr>
      <w:tr>
        <w:trPr>
          <w:trHeight w:val="20"/>
        </w:trPr>
        <w:tc>
          <w:tcPr>
            <w:tcW w:w="68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Supplemental Cash Flow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amortization of right of use assets for the three months ended March 31, 2020 and 2019 was $325 and $306, respectively.</w:t>
      </w:r>
    </w:p>
    <w:p>
      <w:pPr>
        <w:spacing w:after="0" w:line="225" w:lineRule="exact"/>
        <w:rPr>
          <w:sz w:val="20"/>
          <w:szCs w:val="20"/>
          <w:color w:val="auto"/>
        </w:rPr>
      </w:pPr>
    </w:p>
    <w:p>
      <w:pPr>
        <w:ind w:left="660" w:right="220"/>
        <w:spacing w:after="0" w:line="279" w:lineRule="auto"/>
        <w:rPr>
          <w:sz w:val="20"/>
          <w:szCs w:val="20"/>
          <w:color w:val="auto"/>
        </w:rPr>
      </w:pPr>
      <w:r>
        <w:rPr>
          <w:rFonts w:ascii="Arial" w:cs="Arial" w:eastAsia="Arial" w:hAnsi="Arial"/>
          <w:sz w:val="17"/>
          <w:szCs w:val="17"/>
          <w:color w:val="auto"/>
        </w:rPr>
        <w:t>During the three months ended March 31, 2020, we recorded a non-cash increase in our ROU assets and operating lease liabilities as a result of a modification of the lease for our EMS facility in Fremont, California. On January 23, 2020, we executed an amendment to this lease, which extended the term for a period of 61 months commencing on November 1, 2020 and expiring on November 30, 2025. At the effective date of this modification, we recorded an increase in our ROU assets and operating lease liabilities of approximately $1,176.</w:t>
      </w:r>
    </w:p>
    <w:p>
      <w:pPr>
        <w:spacing w:after="0" w:line="171" w:lineRule="exact"/>
        <w:rPr>
          <w:sz w:val="20"/>
          <w:szCs w:val="20"/>
          <w:color w:val="auto"/>
        </w:rPr>
      </w:pPr>
    </w:p>
    <w:p>
      <w:pPr>
        <w:ind w:left="660" w:right="180"/>
        <w:spacing w:after="0" w:line="257" w:lineRule="auto"/>
        <w:rPr>
          <w:sz w:val="20"/>
          <w:szCs w:val="20"/>
          <w:color w:val="auto"/>
        </w:rPr>
      </w:pPr>
      <w:r>
        <w:rPr>
          <w:rFonts w:ascii="Arial" w:cs="Arial" w:eastAsia="Arial" w:hAnsi="Arial"/>
          <w:sz w:val="18"/>
          <w:szCs w:val="18"/>
          <w:color w:val="auto"/>
        </w:rPr>
        <w:t>During the three months ended March 31, 2019, we recorded a non-cash decrease in our ROU assets and operating lease liabilities as a result of a modification of the lease for Ambrell’s U.K. facility. This lease had an original term of 15 years, which extended through August 2029. The lease included the option to terminate the lease at specified points in time without penalty. We exercised this option in March 2019, and the lease expired in September 2019. At the effective date of this modification, we recorded a reduction in our ROU assets and operating lease liabilities of approximately $486.</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660" w:righ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have issued letters of credit as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outstanding letters of credit at March 31, 2020 and December 31, 2019 consisted of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Letters of Credit</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Lease</w:t>
            </w:r>
          </w:p>
        </w:tc>
        <w:tc>
          <w:tcPr>
            <w:tcW w:w="220" w:type="dxa"/>
            <w:vAlign w:val="bottom"/>
          </w:tcPr>
          <w:p>
            <w:pPr>
              <w:spacing w:after="0"/>
              <w:rPr>
                <w:sz w:val="20"/>
                <w:szCs w:val="20"/>
                <w:color w:val="auto"/>
              </w:rPr>
            </w:pPr>
          </w:p>
        </w:tc>
        <w:tc>
          <w:tcPr>
            <w:tcW w:w="30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Amount Outstanding</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Original L/C</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Expiration</w:t>
            </w: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4/30/2021</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4/30/2021 $</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Mansfield, MA</w:t>
            </w:r>
          </w:p>
        </w:tc>
        <w:tc>
          <w:tcPr>
            <w:tcW w:w="1260" w:type="dxa"/>
            <w:vAlign w:val="bottom"/>
          </w:tcPr>
          <w:p>
            <w:pPr>
              <w:jc w:val="right"/>
              <w:spacing w:after="0"/>
              <w:rPr>
                <w:sz w:val="20"/>
                <w:szCs w:val="20"/>
                <w:color w:val="auto"/>
              </w:rPr>
            </w:pPr>
            <w:r>
              <w:rPr>
                <w:rFonts w:ascii="Arial" w:cs="Arial" w:eastAsia="Arial" w:hAnsi="Arial"/>
                <w:sz w:val="18"/>
                <w:szCs w:val="18"/>
                <w:color w:val="auto"/>
              </w:rPr>
              <w:t>10/27/2010</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12/31/2024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12/31/2024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jc w:val="both"/>
        <w:ind w:left="660" w:right="180"/>
        <w:spacing w:after="0" w:line="286" w:lineRule="auto"/>
        <w:rPr>
          <w:sz w:val="20"/>
          <w:szCs w:val="20"/>
          <w:color w:val="auto"/>
        </w:rPr>
      </w:pPr>
      <w:r>
        <w:rPr>
          <w:rFonts w:ascii="Arial" w:cs="Arial" w:eastAsia="Arial" w:hAnsi="Arial"/>
          <w:sz w:val="17"/>
          <w:szCs w:val="17"/>
          <w:color w:val="auto"/>
        </w:rPr>
        <w:t>As discussed in Note 1 and described more fully in Note 13, on April 10, 2020, we entered into the Agreement with M&amp;T. Under the terms of the Agreement, M&amp;T has provided us with a $7,500 revolving credit facility, guaranteed by our subsidiaries. This facility was put in place to provide us with additional liquidity in response to the current business environment,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66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2020, we have unvested restricted stock awards and stock options granted under stock-based compensation plans that are described more fully in Note 12 to the consolidated financial statements in our 2019 Form 10-K.</w:t>
      </w:r>
    </w:p>
    <w:p>
      <w:pPr>
        <w:spacing w:after="0" w:line="170" w:lineRule="exact"/>
        <w:rPr>
          <w:rFonts w:ascii="Arial" w:cs="Arial" w:eastAsia="Arial" w:hAnsi="Arial"/>
          <w:sz w:val="18"/>
          <w:szCs w:val="18"/>
          <w:b w:val="1"/>
          <w:bCs w:val="1"/>
          <w:color w:val="auto"/>
        </w:rPr>
      </w:pPr>
    </w:p>
    <w:p>
      <w:pPr>
        <w:ind w:left="660" w:right="2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March 31, 2020, total unrecognized compensation expense related to unvested restricted stock awards and stock options was $1,791. The weighted average period over which this expense is expected to be recognized is 2.7 years. The following table shows the allocation of the compensation expense we recorded during the three months ended March 31, 2020 and 2019, respectively, related to stock-based compensation:</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8"/>
              </w:rPr>
              <w:t>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1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Selling expense</w:t>
            </w: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180</w:t>
            </w:r>
          </w:p>
        </w:tc>
      </w:tr>
      <w:tr>
        <w:trPr>
          <w:trHeight w:val="20"/>
        </w:trPr>
        <w:tc>
          <w:tcPr>
            <w:tcW w:w="5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183</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stock-based compensation expense capitalized in the three months ended March 31, 2020 or 2019.</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left="660" w:right="54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three months ended March 31, 2020:</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36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3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165,031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58,160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(8,315)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March 31, 2020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The total fair value of the shares that vested during the three months ended March 31, 2020 and 2019 was $155 and $239, respectively, as of the vesting dates of these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660" w:right="340"/>
        <w:spacing w:after="0" w:line="263" w:lineRule="auto"/>
        <w:rPr>
          <w:sz w:val="20"/>
          <w:szCs w:val="20"/>
          <w:color w:val="auto"/>
        </w:rPr>
      </w:pPr>
      <w:r>
        <w:rPr>
          <w:rFonts w:ascii="Arial" w:cs="Arial" w:eastAsia="Arial" w:hAnsi="Arial"/>
          <w:sz w:val="18"/>
          <w:szCs w:val="18"/>
          <w:color w:val="auto"/>
        </w:rPr>
        <w:t>We record compensation expense for stock options based on the fair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for stock options granted during the three months ended March 31, 2020 and 2019 was estimated at the date of grant using the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0.48%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0.00%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6.25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three months ended March 31, 2020 and 2019 was $1.55 and $3.13,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stock options for the three months ended March 31, 2020:</w:t>
      </w:r>
    </w:p>
    <w:p>
      <w:pPr>
        <w:sectPr>
          <w:pgSz w:w="11900" w:h="16838" w:orient="portrait"/>
          <w:cols w:equalWidth="0" w:num="1">
            <w:col w:w="11320"/>
          </w:cols>
          <w:pgMar w:left="32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outstanding, January 1, 2020 (87,900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-107315</wp:posOffset>
            </wp:positionV>
            <wp:extent cx="67722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722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9" w:lineRule="exact"/>
        <w:rPr>
          <w:sz w:val="20"/>
          <w:szCs w:val="20"/>
          <w:color w:val="auto"/>
        </w:rPr>
      </w:pPr>
    </w:p>
    <w:p>
      <w:pPr>
        <w:jc w:val="right"/>
        <w:ind w:right="2360"/>
        <w:spacing w:after="0"/>
        <w:rPr>
          <w:sz w:val="20"/>
          <w:szCs w:val="20"/>
          <w:color w:val="auto"/>
        </w:rPr>
      </w:pPr>
      <w:r>
        <w:rPr>
          <w:rFonts w:ascii="Arial" w:cs="Arial" w:eastAsia="Arial" w:hAnsi="Arial"/>
          <w:sz w:val="16"/>
          <w:szCs w:val="16"/>
          <w:color w:val="auto"/>
        </w:rPr>
        <w:t>Options outstanding, March 31, 2020 (172,525 exercisable)</w:t>
      </w:r>
    </w:p>
    <w:p>
      <w:pPr>
        <w:spacing w:after="0" w:line="200" w:lineRule="exact"/>
        <w:rPr>
          <w:sz w:val="20"/>
          <w:szCs w:val="20"/>
          <w:color w:val="auto"/>
        </w:rPr>
      </w:pPr>
    </w:p>
    <w:p>
      <w:pPr>
        <w:spacing w:after="0" w:line="28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7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of Shares</w:t>
            </w:r>
          </w:p>
        </w:tc>
        <w:tc>
          <w:tcPr>
            <w:tcW w:w="2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506,810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6.89</w:t>
            </w:r>
          </w:p>
        </w:tc>
        <w:tc>
          <w:tcPr>
            <w:tcW w:w="20" w:type="dxa"/>
            <w:vAlign w:val="bottom"/>
          </w:tcPr>
          <w:p>
            <w:pPr>
              <w:spacing w:after="0"/>
              <w:rPr>
                <w:sz w:val="16"/>
                <w:szCs w:val="16"/>
                <w:color w:val="auto"/>
              </w:rPr>
            </w:pPr>
          </w:p>
        </w:tc>
      </w:tr>
      <w:tr>
        <w:trPr>
          <w:trHeight w:val="216"/>
        </w:trPr>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66,300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r>
      <w:tr>
        <w:trPr>
          <w:trHeight w:val="216"/>
        </w:trPr>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(24,790)</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r>
      <w:tr>
        <w:trPr>
          <w:trHeight w:val="210"/>
        </w:trPr>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548,320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7300" w:space="720"/>
            <w:col w:w="3300"/>
          </w:cols>
          <w:pgMar w:left="320" w:top="125" w:right="259" w:bottom="1440" w:gutter="0" w:footer="0" w:header="0"/>
          <w:type w:val="continuous"/>
        </w:sectPr>
      </w:pPr>
    </w:p>
    <w:p>
      <w:pPr>
        <w:spacing w:after="0" w:line="29" w:lineRule="exact"/>
        <w:rPr>
          <w:sz w:val="20"/>
          <w:szCs w:val="20"/>
          <w:color w:val="auto"/>
        </w:rPr>
      </w:pPr>
    </w:p>
    <w:p>
      <w:pPr>
        <w:ind w:left="620" w:right="220"/>
        <w:spacing w:after="0" w:line="288" w:lineRule="auto"/>
        <w:rPr>
          <w:sz w:val="20"/>
          <w:szCs w:val="20"/>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quarter ended March 31, 2020, we repurchased 13,767 under the 2019 Repurchase Plan at a cost of $74, including fees paid to our broker. Through March 31, 2020, we have repurchased a total of 243,075 shares under the 2019 Repurchase Plan at a cost of $1,216, which includes fees paid to our broker of $6. All of the repurchased shares were retired. On March 2, 2020, we suspended repurchases under the 2019 Repurchase Plan.</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660" w:right="22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We have defined contribution 401(k) plans for our employees who work in the U.S. All permanent employees of inTEST Corporation, inTEST EMS LLC (“EMS LLC”), Temptronic Corporation (“Temptronic”) and inTEST Silicon Valley Corporation (“Silicon Valley”)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ended March 31, 2020 and 2019, expense under the plan was $165 and $190, respectively.</w:t>
      </w:r>
    </w:p>
    <w:p>
      <w:pPr>
        <w:spacing w:after="0" w:line="161" w:lineRule="exact"/>
        <w:rPr>
          <w:rFonts w:ascii="Arial" w:cs="Arial" w:eastAsia="Arial" w:hAnsi="Arial"/>
          <w:sz w:val="18"/>
          <w:szCs w:val="18"/>
          <w:b w:val="1"/>
          <w:bCs w:val="1"/>
          <w:color w:val="auto"/>
        </w:rPr>
      </w:pPr>
    </w:p>
    <w:p>
      <w:pPr>
        <w:ind w:left="660" w:right="2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three months ended March 31, 2020 and 2019, expense under the plan was $17 and $23, respectively.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6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94" w:lineRule="exact"/>
        <w:rPr>
          <w:rFonts w:ascii="Arial" w:cs="Arial" w:eastAsia="Arial" w:hAnsi="Arial"/>
          <w:sz w:val="18"/>
          <w:szCs w:val="18"/>
          <w:b w:val="1"/>
          <w:bCs w:val="1"/>
          <w:color w:val="auto"/>
        </w:rPr>
      </w:pPr>
    </w:p>
    <w:p>
      <w:pPr>
        <w:ind w:left="660" w:right="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energy, industrial, telecommunications and other markets.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9,334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5,428</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11,230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18,062</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r>
      <w:tr>
        <w:trPr>
          <w:trHeight w:val="20"/>
        </w:trPr>
        <w:tc>
          <w:tcPr>
            <w:tcW w:w="8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EMS</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320"/>
          </w:cols>
          <w:pgMar w:left="320" w:top="125" w:right="259" w:bottom="1440" w:gutter="0" w:footer="0" w:header="0"/>
        </w:sectPr>
      </w:pPr>
    </w:p>
    <w:p>
      <w:pPr>
        <w:jc w:val="center"/>
        <w:ind w:left="886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left="886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2019</w:t>
      </w:r>
    </w:p>
    <w:p>
      <w:pPr>
        <w:spacing w:after="0" w:line="9" w:lineRule="exact"/>
        <w:rPr>
          <w:sz w:val="20"/>
          <w:szCs w:val="20"/>
          <w:color w:val="auto"/>
        </w:rPr>
      </w:pPr>
    </w:p>
    <w:p>
      <w:pPr>
        <w:sectPr>
          <w:pgSz w:w="11900" w:h="16838" w:orient="portrait"/>
          <w:cols w:equalWidth="0" w:num="2">
            <w:col w:w="9640" w:space="480"/>
            <w:col w:w="1200"/>
          </w:cols>
          <w:pgMar w:left="32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49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Thermal</w:t>
            </w:r>
          </w:p>
        </w:tc>
        <w:tc>
          <w:tcPr>
            <w:tcW w:w="53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51,223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51,621</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4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7,319</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Corporate</w:t>
            </w:r>
          </w:p>
        </w:tc>
        <w:tc>
          <w:tcPr>
            <w:tcW w:w="4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59,059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59,715</w:t>
            </w:r>
          </w:p>
        </w:tc>
        <w:tc>
          <w:tcPr>
            <w:tcW w:w="80" w:type="dxa"/>
            <w:vAlign w:val="bottom"/>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jc w:val="right"/>
              <w:ind w:right="2790"/>
              <w:spacing w:after="0"/>
              <w:rPr>
                <w:sz w:val="20"/>
                <w:szCs w:val="20"/>
                <w:color w:val="auto"/>
              </w:rPr>
            </w:pPr>
            <w:r>
              <w:rPr>
                <w:rFonts w:ascii="Arial" w:cs="Arial" w:eastAsia="Arial" w:hAnsi="Arial"/>
                <w:sz w:val="18"/>
                <w:szCs w:val="18"/>
                <w:color w:val="auto"/>
              </w:rPr>
              <w:t>-18-</w:t>
            </w:r>
          </w:p>
        </w:tc>
        <w:tc>
          <w:tcPr>
            <w:tcW w:w="4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5" w:right="2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5,719</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11,252</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18,062</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320"/>
          </w:cols>
          <w:pgMar w:left="320" w:top="125" w:right="259" w:bottom="0" w:gutter="0" w:footer="0" w:header="0"/>
        </w:sectPr>
      </w:pPr>
    </w:p>
    <w:p>
      <w:pPr>
        <w:jc w:val="center"/>
        <w:ind w:left="886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left="886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6"/>
          <w:szCs w:val="16"/>
          <w:b w:val="1"/>
          <w:bCs w:val="1"/>
          <w:color w:val="auto"/>
        </w:rPr>
        <w:t>December 31,</w:t>
      </w:r>
    </w:p>
    <w:p>
      <w:pPr>
        <w:spacing w:after="0" w:line="5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2019</w:t>
      </w:r>
    </w:p>
    <w:p>
      <w:pPr>
        <w:spacing w:after="0" w:line="9" w:lineRule="exact"/>
        <w:rPr>
          <w:sz w:val="20"/>
          <w:szCs w:val="20"/>
          <w:color w:val="auto"/>
        </w:rPr>
      </w:pPr>
    </w:p>
    <w:p>
      <w:pPr>
        <w:sectPr>
          <w:pgSz w:w="11900" w:h="16838" w:orient="portrait"/>
          <w:cols w:equalWidth="0" w:num="2">
            <w:col w:w="9640" w:space="480"/>
            <w:col w:w="1200"/>
          </w:cols>
          <w:pgMar w:left="320" w:top="125" w:right="259" w:bottom="0" w:gutter="0" w:footer="0" w:header="0"/>
          <w:type w:val="continuous"/>
        </w:sectPr>
      </w:pPr>
    </w:p>
    <w:tbl>
      <w:tblPr>
        <w:tblLayout w:type="fixed"/>
        <w:tblInd w:w="660" w:type="dxa"/>
        <w:tblCellMar>
          <w:top w:w="0" w:type="dxa"/>
          <w:left w:w="0" w:type="dxa"/>
          <w:bottom w:w="0" w:type="dxa"/>
          <w:right w:w="0" w:type="dxa"/>
        </w:tblCellMar>
      </w:tblP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4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2,062</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0"/>
        </w:trPr>
        <w:tc>
          <w:tcPr>
            <w:tcW w:w="80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2,341</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r>
      <w:tr>
        <w:trPr>
          <w:trHeight w:val="20"/>
        </w:trPr>
        <w:tc>
          <w:tcPr>
            <w:tcW w:w="8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8680" w:hanging="652"/>
        <w:spacing w:after="0" w:line="503"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u w:val="single" w:color="auto"/>
          <w:color w:val="auto"/>
        </w:rPr>
        <w:t>Line of Credit</w:t>
      </w:r>
    </w:p>
    <w:p>
      <w:pPr>
        <w:ind w:left="660"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previously mentioned in Notes 1 and 8, on April 10, 2020 (the “Closing Date”), we entered into the Agreement with M&amp;T. Under the terms of the Agreement, M&amp;T has provided us with a $7,500 revolving credit facility under which our domestic subsidiaries, Ambrell, EMS LLC, Temptronic and Silicon Valley, are guarantors (collectively, the “Guarantors”). The revolving credit facility has a 364-day contract period that began on the Closing Date and expires on April 9, 2021 (the “Contract Period”). The principal balance of the revolving credit facility will accrue interest at the LIBOR rate plus 2.5%. In the event the current LIBOR rate is no longer available or representative, the Agreement includes a mechanism for providing an alternate benchmark. Interest payments are due on a monthly basis, and principal payments are due, along with any accrued and unpaid interest thereon, on the earlier of (a) the expiration of the Contract Period, or (b) on demand if a continued event of default occurs.</w:t>
      </w:r>
    </w:p>
    <w:p>
      <w:pPr>
        <w:spacing w:after="0" w:line="191" w:lineRule="exact"/>
        <w:rPr>
          <w:rFonts w:ascii="Arial" w:cs="Arial" w:eastAsia="Arial" w:hAnsi="Arial"/>
          <w:sz w:val="18"/>
          <w:szCs w:val="18"/>
          <w:b w:val="1"/>
          <w:bCs w:val="1"/>
          <w:color w:val="auto"/>
        </w:rPr>
      </w:pPr>
    </w:p>
    <w:p>
      <w:pPr>
        <w:ind w:left="660" w:right="2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Agreement contains customary default provisions including, but not limited to, the failure by us to repay obligations when due, violation of provisions or representations provided in the Agreement, bankruptcy of inTEST Corporation, suspension of the business of inTEST Corporation or any of our subsidiaries and certain material judgments. After expiration of the Contract Period, or if a continued event of default occurs, interest will accrue on the principal balance at a rate of 2% in excess of the then applicable non-default interest rate.</w:t>
      </w:r>
    </w:p>
    <w:p>
      <w:pPr>
        <w:spacing w:after="0" w:line="157"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Our obligations under the Agreement are secured by liens on substantially all our tangible and intangible assets that are owned as of the Closing Date, as defined in the Agreement, or acquired thereafter.</w:t>
      </w:r>
    </w:p>
    <w:p>
      <w:pPr>
        <w:spacing w:after="0" w:line="170"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Agreement includes customary affirmative, negative and financial covenants, including a maximum ratio of assets to liabilities and a fixed charge coverage ratio.</w:t>
      </w:r>
    </w:p>
    <w:p>
      <w:pPr>
        <w:spacing w:after="0" w:line="170" w:lineRule="exact"/>
        <w:rPr>
          <w:rFonts w:ascii="Arial" w:cs="Arial" w:eastAsia="Arial" w:hAnsi="Arial"/>
          <w:sz w:val="18"/>
          <w:szCs w:val="18"/>
          <w:b w:val="1"/>
          <w:bCs w:val="1"/>
          <w:color w:val="auto"/>
        </w:rPr>
      </w:pPr>
    </w:p>
    <w:p>
      <w:pPr>
        <w:ind w:left="6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facility was put in place to provide us with additional liquidity in response to the current business environment, as a result of the COVID-19 pandemic. As of the date of this filing, we have drawn down $2,800 on our revolving credit facility.</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Paycheck Protection Program Loans</w:t>
      </w:r>
    </w:p>
    <w:p>
      <w:pPr>
        <w:spacing w:after="0" w:line="225" w:lineRule="exact"/>
        <w:rPr>
          <w:rFonts w:ascii="Arial" w:cs="Arial" w:eastAsia="Arial" w:hAnsi="Arial"/>
          <w:sz w:val="18"/>
          <w:szCs w:val="18"/>
          <w:b w:val="1"/>
          <w:bCs w:val="1"/>
          <w:color w:val="auto"/>
        </w:rPr>
      </w:pPr>
    </w:p>
    <w:p>
      <w:pPr>
        <w:ind w:left="6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April 16, 2020, we entered into a Term Note (the “Company PPP Note”) with M&amp;T pursuant to the Paycheck Protection Program (the “PPP”) of the Coronavirus Aid, Relief, and Economic Security Act (the “CARES Act”) administered by the U.S. Small Business Administration (the “SBA”). Our wholly owned subsidiaries, Ambrell, EMS LLC, Temptronic and Silicon Valley (collectively with the Company, the “Borrowers”), each also entered a Term Note with M&amp;T (each, a “PPP Note” and collectively with the Company PPP Note, the “PPP Notes”) pursuant to the PPP of the CARES Act. Each of the PPP Notes was dated April 16, 2020, except for the EMS LLC PPP Note, which was dated April 14, 2020. The total principal amount of the PPP Notes was $2,829.</w:t>
      </w:r>
    </w:p>
    <w:p>
      <w:pPr>
        <w:spacing w:after="0" w:line="192" w:lineRule="exact"/>
        <w:rPr>
          <w:sz w:val="20"/>
          <w:szCs w:val="20"/>
          <w:color w:val="auto"/>
        </w:rPr>
      </w:pPr>
    </w:p>
    <w:p>
      <w:pPr>
        <w:ind w:left="660" w:right="560"/>
        <w:spacing w:after="0" w:line="291" w:lineRule="auto"/>
        <w:rPr>
          <w:sz w:val="20"/>
          <w:szCs w:val="20"/>
          <w:color w:val="auto"/>
        </w:rPr>
      </w:pPr>
      <w:r>
        <w:rPr>
          <w:rFonts w:ascii="Arial" w:cs="Arial" w:eastAsia="Arial" w:hAnsi="Arial"/>
          <w:sz w:val="16"/>
          <w:szCs w:val="16"/>
          <w:color w:val="auto"/>
        </w:rPr>
        <w:t>The Borrowers intended to use the proceeds of the PPP Notes for certain qualified expenses, including payroll costs, rent and utility costs in accordance with the relevant terms and conditions of the PPP under the CARES Act. Interest accrued on each of the PPP Notes at the rate of</w:t>
      </w:r>
    </w:p>
    <w:p>
      <w:pPr>
        <w:ind w:left="660" w:right="180"/>
        <w:spacing w:after="0" w:line="270" w:lineRule="auto"/>
        <w:rPr>
          <w:sz w:val="20"/>
          <w:szCs w:val="20"/>
          <w:color w:val="auto"/>
        </w:rPr>
      </w:pPr>
      <w:r>
        <w:rPr>
          <w:rFonts w:ascii="Arial" w:cs="Arial" w:eastAsia="Arial" w:hAnsi="Arial"/>
          <w:sz w:val="17"/>
          <w:szCs w:val="17"/>
          <w:color w:val="auto"/>
        </w:rPr>
        <w:t>1.00% per annum. Subject to any forgiveness under the PPP, each of the PPP Notes were to mature two years following the date of issuance of the PPP Note and included a period for the first six months during which time required payments of interest and principal were to be deferred. Beginning on the seventh month following the date of the PPP Notes, each Borrower was required to make 18 monthly payments of principal and interest. The PPP Notes could be prepaid at any time prior to maturity with no prepayment penalties. The PPP Notes provide for customary events of default, including, among others, those relating to failure to make payments, bankruptcy, breaches of representations and material adverse effects. The Borrowers did not provide any collateral or guarantees for the PPP Notes.</w:t>
      </w:r>
    </w:p>
    <w:p>
      <w:pPr>
        <w:spacing w:after="0" w:line="178" w:lineRule="exact"/>
        <w:rPr>
          <w:sz w:val="20"/>
          <w:szCs w:val="20"/>
          <w:color w:val="auto"/>
        </w:rPr>
      </w:pPr>
    </w:p>
    <w:p>
      <w:pPr>
        <w:ind w:left="660" w:right="160"/>
        <w:spacing w:after="0" w:line="296" w:lineRule="auto"/>
        <w:rPr>
          <w:sz w:val="20"/>
          <w:szCs w:val="20"/>
          <w:color w:val="auto"/>
        </w:rPr>
      </w:pPr>
      <w:r>
        <w:rPr>
          <w:rFonts w:ascii="Arial" w:cs="Arial" w:eastAsia="Arial" w:hAnsi="Arial"/>
          <w:sz w:val="16"/>
          <w:szCs w:val="16"/>
          <w:color w:val="auto"/>
        </w:rPr>
        <w:t>The Borrowers applied for the PPP Notes in good faith after carefully reviewing the Borrowers’ financial condition, and the economic impact and uncertainty caused by the COVID-19 pandemic and determining that at that time the funds were necessary to maintain ongoing operations. Due to the new and changing guidance and statements from the SBA and U.S. Department of Treasury issued after the Borrowers applied for and entered into the PPP Notes, the Borrowers determined that they would repay the PPP Notes. Accordingly, on May 5, 2020, in light of the SBA’s new guidance, the Borrowers repaid the full amount of the PPP Notes to M&amp;T along with the applicable interest.</w:t>
      </w:r>
    </w:p>
    <w:p>
      <w:pPr>
        <w:spacing w:after="0" w:line="16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In addition to historical information, this report and management’s discussion and analysis (“MD&amp;A”) contain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“will,” “should,” “plans,” “projects,” “forecasts,” “outlook,” or “anticipates” or similar terminology. See “Cautionary Statement Regarding Forward-Looking Statements" in our 2019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82"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include, but are not limited to, the impact of the COVID-19 pandemic on our business, liquidity, financial condition and results of operations, including as a result of evolving public health requirements in response to the COVID-19 pandemic such as government mandated facility closures, availability of employees, supply chain and distribution constraints, price increases and/or lack of availability from our normal suppliers for the materials needed to produce our products in a timely manner and/or with the level of margins we typically expect to achieve, customers’ inability or refusal to accept product deliveries and the sufficiency of the revolving credit facility to address the impact of the COVID-19 pandemic; indications of a change in the market cycles in the Semi Market or other markets we serve including as a result of the COVID-19 pandemic; changes in business conditions and general economic conditions both domestically and globally including as a result of the COVID-19 pandemic; changes in the demand for semiconductors, generally and as a result of the COVID-19 pandemic; the success of our strategy to diversify our business by entering markets outside the Semi Market; the possibility of future acquisitions or dispositions and the successful integration of any acquired operations; the ability to borrow funds or raise capital to finance major potential acquisitions; changes in the rates of, and timing of, capital expenditures by our customers including as a result of the COVID-19 pandemic; progress of product development programs; increases in raw material and fabrication costs associated with our products including as a result of the COVID-19 pandemic; and other risk factors included in Part I, Item 1A - "Risk Factors" in our 2019 Form 10-K and Part II, Item 1A - "Risk Factors" in this Quarterly Report on Form 10-Q. Material changes to such risk factors may be reported in subsequent Quarterly Reports on Form 10-Q in Part II, Item 1A.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ind w:left="660" w:right="60"/>
        <w:spacing w:after="0" w:line="285" w:lineRule="auto"/>
        <w:rPr>
          <w:sz w:val="20"/>
          <w:szCs w:val="20"/>
          <w:color w:val="auto"/>
        </w:rPr>
      </w:pPr>
      <w:r>
        <w:rPr>
          <w:rFonts w:ascii="Arial" w:cs="Arial" w:eastAsia="Arial" w:hAnsi="Arial"/>
          <w:sz w:val="16"/>
          <w:szCs w:val="16"/>
          <w:color w:val="auto"/>
        </w:rPr>
        <w:t>In early January 2020, a human infection originating in China was traced to a novel strain of coronavirus, referred to as COVID-19. COVID-19 has subsequently spread to other parts of the world, including the U.S. and Europe, and has caused unprecedented disruptions in the global economy as efforts to contain the spread of COVID-19 have intensified. On March 11, 2020, the WHO officially declared COVID-19 a pandemic. Our business has been, and will continue to be, adversely affected by the COVID-19 pandemic. Since March 17, 2020, several states, including all of the states in which we have manufacturing facilities, have instituted “shelter-in place” orders as well as guidance in response to the COVID-19 pandemic and the need to contain it. Currently, all of our operations have been deemed “critical and essential business operations” under the various governmental COVID-19 mandates which has allowed us to continue to operate our business with certain modifications as discussed below. The impact of the COVID-19 pandemic on our operations is intensified because it is occurring at a time when our business operations have already been negatively affected by a global downturn in the Semi Market. The Semi Market, from which approximately half of our net revenues are derived, has been in a cyclical downturn since the beginning of 2019. This downturn has resulted in significant declines in our net revenues from the Semi Market and contributed to the net loss we recorded in the first quarter of 2020 of $1.1 million. Our net revenues from the Semi Market for the first quarter of 2020 totaled $5.0 million compared to $10.1 million in the first quarter of 2019, when the downturn began. We had started to see indications that the downturn was coming to an end and that the beginning of the next cyclical upturn in the Semi Market was imminent, but the COVID-19 pandemic appears to be impacting this timing. We currently expect that the recovery in the Semi Market may be delayed by as many as two or more quarters. During 2019, we made adjustments to reduce our fixed cost structure, which included staff reductions and limits on all discretionary spending. As a result of the expected delay in the Semi Market recovery, we have been evaluating additional actions to further reduce our fixed cost structure with the goal of limiting future losses and maintaining an adequate level of liquidity to operate our business. To date, these additional actions have included further staff reductions, the temporary shutdown of our EMS manufacturing facility in Fremont, California in late March and the temporary closure of our Thermal segment manufacturing facility in Mansfield, Massachusetts for a two-week period at the beginning of April.</w:t>
      </w:r>
    </w:p>
    <w:p>
      <w:pPr>
        <w:spacing w:after="0" w:line="385"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As discussed further in Notes 1, 8 and 13 to our consolidated financial statements, on April 10, 2020, we entered into the Agreement with M&amp;T. Under the terms of the Agreement, M&amp;T has provided us with a $7.5 million revolving credit facility. This revolving credit facility was put in place to provide us with additional liquidity in response to the current business environment, as a result of the COVID-19 pandemic.</w:t>
      </w:r>
    </w:p>
    <w:p>
      <w:pPr>
        <w:spacing w:after="0" w:line="165" w:lineRule="exact"/>
        <w:rPr>
          <w:sz w:val="20"/>
          <w:szCs w:val="20"/>
          <w:color w:val="auto"/>
        </w:rPr>
      </w:pPr>
    </w:p>
    <w:p>
      <w:pPr>
        <w:ind w:left="660" w:right="80"/>
        <w:spacing w:after="0" w:line="287" w:lineRule="auto"/>
        <w:rPr>
          <w:sz w:val="20"/>
          <w:szCs w:val="20"/>
          <w:color w:val="auto"/>
        </w:rPr>
      </w:pPr>
      <w:r>
        <w:rPr>
          <w:rFonts w:ascii="Arial" w:cs="Arial" w:eastAsia="Arial" w:hAnsi="Arial"/>
          <w:sz w:val="16"/>
          <w:szCs w:val="16"/>
          <w:color w:val="auto"/>
        </w:rPr>
        <w:t>As of the date of this filing, our facilities in California and Massachusetts have re-opened and all our other facilities, with the exception of our sales office in Singapore, have remained open. While we do not currently have any further plans for facility closures, if the current pace of the COVID-19 pandemic cannot be sufficiently slowed and the spread of the virus is not contained, our business operations could be delayed or interrupted. In addition, the aftermarket service and support that we provide to our customers has been, and we expect will continue to be, impacted by the COVID-19 pandemic due to travel restrictions and limitations on visitors allowed into customer facilities, which has resulted in some of these activities being reduced or suspended. Therefore, the net revenues associated with these aftermarket service and support activities, which typically range from 8% to 10% of our consolidated net revenues, may decline. We expect that government and health authorities may announce new or extend existing restrictions, which could require us to make further adjustments to our operations in order to comply with any such restrictions. These adjustments to our operations could include additional facility closures in the future if demand slows down, which could have a material negative impact on our business, results of operations and financial condition. The funds we may draw down from our revolving credit facility under the Agreement may not be sufficient to prevent the need to take further actions such as staff reductions, facility closures or other salary and benefits adjustments for remaining employees. To extent that the COVID-19 pandemic may have a negative impact on our</w:t>
      </w:r>
    </w:p>
    <w:p>
      <w:pPr>
        <w:sectPr>
          <w:pgSz w:w="11900" w:h="16838" w:orient="portrait"/>
          <w:cols w:equalWidth="0" w:num="1">
            <w:col w:w="11200"/>
          </w:cols>
          <w:pgMar w:left="320" w:top="125" w:right="379" w:bottom="0" w:gutter="0" w:footer="0" w:header="0"/>
        </w:sectPr>
      </w:pPr>
    </w:p>
    <w:bookmarkStart w:id="22" w:name="page23"/>
    <w:bookmarkEnd w:id="22"/>
    <w:p>
      <w:pPr>
        <w:spacing w:after="0" w:line="308" w:lineRule="auto"/>
        <w:rPr>
          <w:sz w:val="20"/>
          <w:szCs w:val="20"/>
          <w:color w:val="auto"/>
        </w:rPr>
      </w:pPr>
      <w:r>
        <w:rPr>
          <w:rFonts w:ascii="Arial" w:cs="Arial" w:eastAsia="Arial" w:hAnsi="Arial"/>
          <w:sz w:val="17"/>
          <w:szCs w:val="17"/>
          <w:color w:val="auto"/>
        </w:rPr>
        <w:t>operations, as a result of our current level of working capital as well as the availability of the revolving credit facility under the Agreement, we currently expect to have sufficient liquidity to operate our business throughout the balance of 2020, as further described in this report.</w:t>
      </w:r>
    </w:p>
    <w:p>
      <w:pPr>
        <w:spacing w:after="0" w:line="14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980" w:top="125" w:right="6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Generally, global supply chains and the timely availability of products have been and will continue to be materially disrupted by quarantines, factory slowdowns or shutdowns, border closings and travel restrictions resulting from the COVID-19 pandemic. We have experienced, and expect that we may continue to experience, price increases and/or lack of availability from our normal suppliers for the materials needed to produce our products in a timely manner and/or with the level of margins we typically expect to achieve. We are working to mitigate and address these delays and price increases, but there can be no assurance that we will not experience delays or price increases in the future which could have a material negative impact on our business, results of operations and financial condition.</w:t>
      </w:r>
    </w:p>
    <w:p>
      <w:pPr>
        <w:spacing w:after="0" w:line="178" w:lineRule="exact"/>
        <w:rPr>
          <w:sz w:val="20"/>
          <w:szCs w:val="20"/>
          <w:color w:val="auto"/>
        </w:rPr>
      </w:pPr>
    </w:p>
    <w:p>
      <w:pPr>
        <w:ind w:left="660" w:right="120"/>
        <w:spacing w:after="0" w:line="271" w:lineRule="auto"/>
        <w:rPr>
          <w:sz w:val="20"/>
          <w:szCs w:val="20"/>
          <w:color w:val="auto"/>
        </w:rPr>
      </w:pPr>
      <w:r>
        <w:rPr>
          <w:rFonts w:ascii="Arial" w:cs="Arial" w:eastAsia="Arial" w:hAnsi="Arial"/>
          <w:sz w:val="17"/>
          <w:szCs w:val="17"/>
          <w:color w:val="auto"/>
        </w:rPr>
        <w:t>We have implemented workplace safeguards to protect and ensure the health and well-being of our employees. A significant number of employees have been authorized to work from home and have been provided with the tools and technology necessary to do so. However, the process of working remotely may result in these employees not being as effective or responsive to our customers’ needs as they would be under more normal conditions. This could result in lost business opportunities or have other negative impacts on our business. Remaining employees in our facilities are following WHO and CDC recommended safety practices, as well as state and local directives, but there can be no assurances that we can successfully avoid one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78"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The duration of any business disruption and related financial impact cannot be reasonably estimated at this time but may materially affect our ability to operate our business and result in additional costs. The extent to which the COVID-19 pandemic may impact our operating results, financial condition, and liquidity will depend on future developments, which are highly uncertain and cannot be predicted as of the time of this filing, including new information that may emerge concerning the severity of COVID-19 and steps taken to contain COVID-19 or treat its impact, among others. The adverse effects of the COVID-19 pandemic on our business could be material in future periods.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660" w:right="200"/>
        <w:spacing w:after="0" w:line="301" w:lineRule="auto"/>
        <w:rPr>
          <w:sz w:val="20"/>
          <w:szCs w:val="20"/>
          <w:color w:val="auto"/>
        </w:rPr>
      </w:pPr>
      <w:r>
        <w:rPr>
          <w:rFonts w:ascii="Arial" w:cs="Arial" w:eastAsia="Arial" w:hAnsi="Arial"/>
          <w:sz w:val="16"/>
          <w:szCs w:val="16"/>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Products (“Thermal”) and Electromechanical Semiconductor Products (“EMS”). Our Thermal segment designs, manufactures and sells our thermal test and thermal process products while our EMS segment designs, manufactures and sells our semiconductor test products.</w:t>
      </w:r>
    </w:p>
    <w:p>
      <w:pPr>
        <w:spacing w:after="0" w:line="157" w:lineRule="exact"/>
        <w:rPr>
          <w:sz w:val="20"/>
          <w:szCs w:val="20"/>
          <w:color w:val="auto"/>
        </w:rPr>
      </w:pPr>
    </w:p>
    <w:p>
      <w:pPr>
        <w:ind w:left="660" w:right="220"/>
        <w:spacing w:after="0" w:line="273"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defense/aerospace, energy, industrial and telecommunications markets. As a result of the acquisition of Ambrell in May 2017, our Thermal segment also sells into the consumer products packaging, fiber optics and other sectors within the broader industrial market, and into the wafer processing sector within the broader semiconductor market.</w:t>
      </w:r>
    </w:p>
    <w:p>
      <w:pPr>
        <w:spacing w:after="0" w:line="178"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Historically, we have referred to our markets as “Semiconductor” (which includes both the broader semiconductor market as well as the more specialized semiconductor ATE and wafer processing sectors within the broader semiconductor market), and “Non-Semiconductor” (which included all of the other markets we serve). In the second quarter of 2019, we began referring to the semiconductor market, including the ATE and wafer processing sectors within that market, as the “Semi Market.” All other markets are designated as “Multimarket.” While the Semi Market represents the historical roots of inTEST and remains a very important component of our business, Multimarket is where we have focused our strategic growth efforts in the last several years. Our goal has been to grow our business, both organically and through acquisition, in these markets as we believe these markets have historically been less cyclical than the Semi Market. It is important to note that business within our Thermal segment can fall into either the Semi Market or Multimarket, depending upon how our customers utilize our products or upon their respective applications. Prior to the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Multimarket.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80"/>
        <w:spacing w:after="0" w:line="291"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6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5"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In addition to being cyclical, the Semi Market has also developed a seasonal pattern, with the second and third quarters being the periods of strong demand and the first and fourth quarters being periods of weakened demand. These periods of heightened or reduced demand can shift depending on various factors impacting both our customers and the markets that they serve.</w:t>
      </w:r>
    </w:p>
    <w:p>
      <w:pPr>
        <w:spacing w:after="0" w:line="184"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7"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While the majority of our orders and net revenues are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8"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As previously mentioned, as part of our ongoing strategy to reduce the impact of Semi Market volatility on our business operations, we continue to diversify our served markets to address the thermal test and thermal process requirements of several other markets outside the Semi Market. These include the automotive, defense/aerospace, energy, industrial, telecommunications and other markets, which we refer to as Multimarket. We believe that these markets usually are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78"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In addition, our Multimarket orders and net revenues in any given period do not necessarily reflect the overall trends in the markets within Multimarket due to our limited market shares.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operating segment and market (in thousands).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vMerge w:val="restart"/>
          </w:tcPr>
          <w:p>
            <w:pPr>
              <w:jc w:val="center"/>
              <w:ind w:left="410"/>
              <w:spacing w:after="0"/>
              <w:rPr>
                <w:sz w:val="20"/>
                <w:szCs w:val="20"/>
                <w:color w:val="auto"/>
              </w:rPr>
            </w:pPr>
            <w:r>
              <w:rPr>
                <w:rFonts w:ascii="Arial" w:cs="Arial" w:eastAsia="Arial" w:hAnsi="Arial"/>
                <w:sz w:val="18"/>
                <w:szCs w:val="18"/>
                <w:b w:val="1"/>
                <w:bCs w:val="1"/>
                <w:color w:val="auto"/>
                <w:w w:val="93"/>
              </w:rPr>
              <w:t>Three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Three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3"/>
              </w:rPr>
              <w:t>Months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Months Ended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20"/>
                <w:szCs w:val="20"/>
                <w:color w:val="auto"/>
              </w:rPr>
            </w:pPr>
          </w:p>
        </w:tc>
        <w:tc>
          <w:tcPr>
            <w:tcW w:w="1060" w:type="dxa"/>
            <w:vAlign w:val="bottom"/>
            <w:gridSpan w:val="3"/>
          </w:tcPr>
          <w:p>
            <w:pPr>
              <w:ind w:left="40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060" w:type="dxa"/>
            <w:vAlign w:val="bottom"/>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Thermal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10,499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1,678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8,682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1,817</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1,881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11,140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2,636</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Semi Market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4,612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1,881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11,140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2,636</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Total consolidated orders for the three months ended March 31, 2020 were $13.8 million compared to $11.9 million for the same period in 2019 and $11.1 million for the three months ended December 31, 2019. Orders from customers in Multimarket for the three months ended March 31, 2020 were $7.1 million, or 51% of total consolidated orders, compared to $6.3 million, or 53% of total consolidated orders for the same period in 2019 and $6.5 million or 59% of total consolidated orders for the three months ended December 31, 2019.</w:t>
      </w:r>
    </w:p>
    <w:p>
      <w:pPr>
        <w:spacing w:after="0" w:line="171" w:lineRule="exact"/>
        <w:rPr>
          <w:sz w:val="20"/>
          <w:szCs w:val="20"/>
          <w:color w:val="auto"/>
        </w:rPr>
      </w:pPr>
    </w:p>
    <w:p>
      <w:pPr>
        <w:ind w:left="660" w:right="280"/>
        <w:spacing w:after="0" w:line="296" w:lineRule="auto"/>
        <w:rPr>
          <w:sz w:val="20"/>
          <w:szCs w:val="20"/>
          <w:color w:val="auto"/>
        </w:rPr>
      </w:pPr>
      <w:r>
        <w:rPr>
          <w:rFonts w:ascii="Arial" w:cs="Arial" w:eastAsia="Arial" w:hAnsi="Arial"/>
          <w:sz w:val="16"/>
          <w:szCs w:val="16"/>
          <w:color w:val="auto"/>
        </w:rPr>
        <w:t>We believe that the increases in our consolidated orders during the three months ended March 31, 2020 as compared to the same period in 2019 and to the three months ended December 31, 2019 reflect the end of the downturn in the Semi Market, where approximately half of our business is derived. This downturn began in the first quarter of 2019. However, as previously discussed in the MD&amp;A, we expect that the COVID-19 pandemic will impact the timing of this recovery. We currently expect that the recovery in the Semi Market may be delayed by as many as two quarters. Orders were also affected by increased demand in Multimarket, specifically the defense/aerospace and industrial markets.</w:t>
      </w:r>
    </w:p>
    <w:p>
      <w:pPr>
        <w:spacing w:after="0" w:line="161" w:lineRule="exact"/>
        <w:rPr>
          <w:sz w:val="20"/>
          <w:szCs w:val="20"/>
          <w:color w:val="auto"/>
        </w:rPr>
      </w:pPr>
    </w:p>
    <w:p>
      <w:pPr>
        <w:ind w:left="660" w:right="280"/>
        <w:spacing w:after="0" w:line="254" w:lineRule="auto"/>
        <w:rPr>
          <w:sz w:val="20"/>
          <w:szCs w:val="20"/>
          <w:color w:val="auto"/>
        </w:rPr>
      </w:pPr>
      <w:r>
        <w:rPr>
          <w:rFonts w:ascii="Arial" w:cs="Arial" w:eastAsia="Arial" w:hAnsi="Arial"/>
          <w:sz w:val="18"/>
          <w:szCs w:val="18"/>
          <w:color w:val="auto"/>
        </w:rPr>
        <w:t>At March 31, 2020, our backlog of unfilled orders for all products was approximately $8.1 million compared with approximately $7.2 million at March 31, 2019 and $5.5 million at December 31, 2019. Our backlog includes customer orders which we have accepted, substantially all of which we expect to deliver in 2020.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sets forth, for the periods indicated, a breakdown of the net revenues by operating segment and market (in thousands).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restart"/>
          </w:tcPr>
          <w:p>
            <w:pPr>
              <w:jc w:val="center"/>
              <w:ind w:left="390"/>
              <w:spacing w:after="0"/>
              <w:rPr>
                <w:sz w:val="20"/>
                <w:szCs w:val="20"/>
                <w:color w:val="auto"/>
              </w:rPr>
            </w:pPr>
            <w:r>
              <w:rPr>
                <w:rFonts w:ascii="Arial" w:cs="Arial" w:eastAsia="Arial" w:hAnsi="Arial"/>
                <w:sz w:val="18"/>
                <w:szCs w:val="18"/>
                <w:b w:val="1"/>
                <w:bCs w:val="1"/>
                <w:color w:val="auto"/>
                <w:w w:val="93"/>
              </w:rPr>
              <w:t>Three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Three</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3"/>
              </w:rPr>
              <w:t>Months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Months Ended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20"/>
                <w:szCs w:val="20"/>
                <w:color w:val="auto"/>
              </w:rPr>
            </w:pPr>
          </w:p>
        </w:tc>
        <w:tc>
          <w:tcPr>
            <w:tcW w:w="1100" w:type="dxa"/>
            <w:vAlign w:val="bottom"/>
            <w:gridSpan w:val="3"/>
          </w:tcPr>
          <w:p>
            <w:pPr>
              <w:ind w:left="440"/>
              <w:spacing w:after="0"/>
              <w:rPr>
                <w:sz w:val="20"/>
                <w:szCs w:val="20"/>
                <w:color w:val="auto"/>
              </w:rPr>
            </w:pPr>
            <w:r>
              <w:rPr>
                <w:rFonts w:ascii="Arial" w:cs="Arial" w:eastAsia="Arial" w:hAnsi="Arial"/>
                <w:sz w:val="18"/>
                <w:szCs w:val="18"/>
                <w:b w:val="1"/>
                <w:bCs w:val="1"/>
                <w:color w:val="auto"/>
                <w:w w:val="96"/>
              </w:rPr>
              <w:t>Change</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060" w:type="dxa"/>
            <w:vAlign w:val="bottom"/>
            <w:gridSpan w:val="3"/>
          </w:tcPr>
          <w:p>
            <w:pPr>
              <w:ind w:left="400"/>
              <w:spacing w:after="0"/>
              <w:rPr>
                <w:sz w:val="20"/>
                <w:szCs w:val="20"/>
                <w:color w:val="auto"/>
              </w:rPr>
            </w:pPr>
            <w:r>
              <w:rPr>
                <w:rFonts w:ascii="Arial" w:cs="Arial" w:eastAsia="Arial" w:hAnsi="Arial"/>
                <w:sz w:val="18"/>
                <w:szCs w:val="18"/>
                <w:b w:val="1"/>
                <w:bCs w:val="1"/>
                <w:color w:val="auto"/>
                <w:w w:val="96"/>
              </w:rPr>
              <w:t>Change</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Thermal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9,334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12,634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(3,300)</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10,048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(3,532)</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18,062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(6,832)</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13,614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(2,384)</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Semi Market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10,111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(5,100)</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(1,732)</w:t>
            </w: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11,230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18,062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(6,832)</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13,614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(2,384)</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Total consolidated net revenues for the three months ended March 31, 2020 were $11.2 million compared to $18.1 million for the same period in 2019 and $13.6 million for the three months ended December 31, 2019. We believe the decrease in our consolidated net revenues as compared to the same period in 2019 primarily reflects the aforementioned downturn in the Semi Market, which we believe is coming to an end based on recent increases we have experienced in our order levels, as discussed under the Orders and Backlog section above. However, also as discussed under Orders and Backlog, we believe the ongoing COVID-19 pandemic may slow the pace of the recovery in the Semi Market by as many as two or more quarters. The reduced net revenues in Multimarket reflect weaker demand from customers in the industrial market which was partially offset by an increase in net revenues from customers in the defense/aerospace market.</w:t>
      </w:r>
    </w:p>
    <w:p>
      <w:pPr>
        <w:spacing w:after="0" w:line="166" w:lineRule="exact"/>
        <w:rPr>
          <w:sz w:val="20"/>
          <w:szCs w:val="20"/>
          <w:color w:val="auto"/>
        </w:rPr>
      </w:pPr>
    </w:p>
    <w:p>
      <w:pPr>
        <w:ind w:left="660" w:right="360"/>
        <w:spacing w:after="0" w:line="263" w:lineRule="auto"/>
        <w:rPr>
          <w:sz w:val="20"/>
          <w:szCs w:val="20"/>
          <w:color w:val="auto"/>
        </w:rPr>
      </w:pPr>
      <w:r>
        <w:rPr>
          <w:rFonts w:ascii="Arial" w:cs="Arial" w:eastAsia="Arial" w:hAnsi="Arial"/>
          <w:sz w:val="18"/>
          <w:szCs w:val="18"/>
          <w:color w:val="auto"/>
        </w:rPr>
        <w:t>Net revenues from customers in Multimarket for the three months ended March 31, 2020 were $6.2 million, or 55% of total consolidated net revenues, compared to $8.0 million, or 44% of total consolidated net revenues for the same period in 2019 and $7.5 million or 55% of total consolidated orders for the three months ended December 31,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results of operations for our two operating segments are generally affected by the same factors described in the Overview and COVID-19 Pandemic sections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2020 Compared to Three Months Ended March 31, 2019</w:t>
      </w:r>
    </w:p>
    <w:p>
      <w:pPr>
        <w:spacing w:after="0" w:line="225" w:lineRule="exact"/>
        <w:rPr>
          <w:sz w:val="20"/>
          <w:szCs w:val="20"/>
          <w:color w:val="auto"/>
        </w:rPr>
      </w:pPr>
    </w:p>
    <w:p>
      <w:pPr>
        <w:ind w:left="660" w:right="340"/>
        <w:spacing w:after="0" w:line="263"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$11.2 million for the three months ended March 31, 2020 compared to $18.1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 decrease of $6.8 million, or 38%. We believe the decrease in our net revenues during the first quarter of 2020 primarily reflects the factors previously discussed in the Overview and COVID-19 Pandemic sections.</w:t>
      </w:r>
    </w:p>
    <w:p>
      <w:pPr>
        <w:spacing w:after="0" w:line="184" w:lineRule="exact"/>
        <w:rPr>
          <w:sz w:val="20"/>
          <w:szCs w:val="20"/>
          <w:color w:val="auto"/>
        </w:rPr>
      </w:pPr>
    </w:p>
    <w:p>
      <w:pPr>
        <w:ind w:left="660" w:right="20"/>
        <w:spacing w:after="0" w:line="293"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43% of net revenues for the three months ended March 31, 2020 as compared to 49%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2019. The decrease in our gross margin as a percentage of net revenues primarily reflects an increase in our fixed operating costs. Although our fixed operating costs decreased $293,000 in absolute dollar terms, they represented 22% of net revenues for the three months ended March 31, 2020 as compared to 15% of net revenues for the same period in 2019. This is a result of our fixed operating costs not being as fully absorbed by the lower net revenues levels in the first three months of 2020. The $293,000 decrease in our fixed operating costs primarily reflects decreased salary and benefits expense and a reduction in materials used in operations and service for our Thermal segment.</w:t>
      </w:r>
    </w:p>
    <w:p>
      <w:pPr>
        <w:spacing w:after="0" w:line="164"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$2.1 million for the three months ended March 31, 2020 compared to $2.4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a decrease of $322,000, or 14%. The decrease primarily reflects lower levels of commissions in our EMS segment as a result of the lower net revenue levels achieved for the three months ended March 31, 2020 compared to the same period in 2019. To a lesser extent, we also had a reduction in consolidated warranty costs in our Thermal segment, reflecting both lower levels of revenue under warranty as well as an improvement in warranty claims experience.</w:t>
      </w:r>
    </w:p>
    <w:p>
      <w:pPr>
        <w:spacing w:after="0" w:line="188"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relatively unchanged at $1.3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three months ended March 31, 2020 and 2019. There were no significant changes in any of the components of engineering and product development expense.</w:t>
      </w:r>
    </w:p>
    <w:p>
      <w:pPr>
        <w:spacing w:after="0" w:line="184" w:lineRule="exact"/>
        <w:rPr>
          <w:sz w:val="20"/>
          <w:szCs w:val="20"/>
          <w:color w:val="auto"/>
        </w:rPr>
      </w:pPr>
    </w:p>
    <w:p>
      <w:pPr>
        <w:ind w:left="660"/>
        <w:spacing w:after="0" w:line="275"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$2.9 million for the three months ended March 31, 2020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$3.7 million for the same period in 2019, a decrease of $853,000, or 23%. The expense for the three months ended March 31, 2019 included $352,000 of expense related to an acquisition which we later decided not to pursue. There was no similar expense in the three months ended March 31, 2020. The decrease also reflects lower levels of profit based bonus accruals and a reduction in the level of fees paid to third party professionals who assist us in a variety of strategic and compliance related matters.</w:t>
      </w:r>
    </w:p>
    <w:p>
      <w:pPr>
        <w:spacing w:after="0" w:line="176"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For the three months ended March 31, 2020, we recorded an income tax benefit of $250,000 compared to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$324,000 for the same period in 2019. Our effective tax rate was 18% for the three months ended March 31, 2020 compared to 22% for the same period in 2019. On a quarterly basis, we record income tax expense or benefit based on the expected annualized effective tax rate for the various taxing jurisdictions in which we operate our businesses.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660" w:right="58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4"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Liquidity</w:t>
            </w:r>
          </w:p>
        </w:tc>
        <w:tc>
          <w:tcPr>
            <w:tcW w:w="6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980" w:type="dxa"/>
            <w:vAlign w:val="bottom"/>
            <w:gridSpan w:val="2"/>
          </w:tcPr>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15,760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16,534</w:t>
            </w:r>
          </w:p>
        </w:tc>
      </w:tr>
    </w:tbl>
    <w:p>
      <w:pPr>
        <w:spacing w:after="0" w:line="187" w:lineRule="exact"/>
        <w:rPr>
          <w:sz w:val="20"/>
          <w:szCs w:val="20"/>
          <w:color w:val="auto"/>
        </w:rPr>
      </w:pPr>
    </w:p>
    <w:p>
      <w:pPr>
        <w:ind w:left="660" w:right="160"/>
        <w:spacing w:after="0" w:line="254" w:lineRule="auto"/>
        <w:rPr>
          <w:sz w:val="20"/>
          <w:szCs w:val="20"/>
          <w:color w:val="auto"/>
        </w:rPr>
      </w:pPr>
      <w:r>
        <w:rPr>
          <w:rFonts w:ascii="Arial" w:cs="Arial" w:eastAsia="Arial" w:hAnsi="Arial"/>
          <w:sz w:val="18"/>
          <w:szCs w:val="18"/>
          <w:color w:val="auto"/>
        </w:rPr>
        <w:t>As of March 31, 2020, $2.2 million, or 30%, of our cash and cash equivalents was held by our foreign subsidiaries. We currently expect our cash and cash equivalents, in combination with the borrowing availability under our revolving credit facility to be sufficient to support our short-term working capital requirements and other corporate requirements. Our revolving credit facility under the Agreement is discussed in Notes 1, 8 and 13 to our consolidated financial statements. Should the impact of the COVID-19 pandemic on our operations, including the disruption to our business caused by potential future closures of our facilities, be more significant than we currently anticipate, we may need additional financial resources, including additional debt or equity financings. There can be no assurance that any such debt or equity financings would be available on favorable terms or rates or at all.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660" w:right="220"/>
        <w:spacing w:after="0" w:line="29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For the three months ended March 31, 2020, we recorded a net loss of $1.1 million and our net cash used in operations was</w:t>
      </w:r>
      <w:r>
        <w:rPr>
          <w:rFonts w:ascii="Arial" w:cs="Arial" w:eastAsia="Arial" w:hAnsi="Arial"/>
          <w:sz w:val="16"/>
          <w:szCs w:val="16"/>
          <w:i w:val="1"/>
          <w:iCs w:val="1"/>
          <w:color w:val="auto"/>
        </w:rPr>
        <w:t xml:space="preserve"> </w:t>
      </w:r>
      <w:r>
        <w:rPr>
          <w:rFonts w:ascii="Arial" w:cs="Arial" w:eastAsia="Arial" w:hAnsi="Arial"/>
          <w:sz w:val="16"/>
          <w:szCs w:val="16"/>
          <w:color w:val="auto"/>
        </w:rPr>
        <w:t>$119,000. During this same period, we had non-cash charges of $791,000 for depreciation and amortization which included $325,000 of amortization related to our right-of-use assets. During the three months ended March 31, 2020, we also recorded $187,000 for amortization of deferred compensation expense related to stock-based awards. Accounts receivable decreased $1.2 million during the three months ended March 31, 2020, reflecting collections and reduced net revenues in the first quarter, while inventories and accounts payable increased $714,000 and $316,000, respectively, reflecting the recent increase in order levels. Accrued wages and benefits declined $543,000 during the first three months of 2020, primarily reflecting the payout profit-related bonuses that had been accrued at December 31, 2019 on our results for 2019.</w:t>
      </w:r>
    </w:p>
    <w:p>
      <w:pPr>
        <w:spacing w:after="0" w:line="166"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three months ended March 31, 2020, purchases of property and equipment were $80,000. We have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for capital expenditures for the balance of 2020; however, depending upon changes in market demand or manufacturing and sales strategies, we may make such purchases or investments as we deem necessary and appropriate.</w:t>
      </w:r>
    </w:p>
    <w:p>
      <w:pPr>
        <w:spacing w:after="0" w:line="184" w:lineRule="exact"/>
        <w:rPr>
          <w:sz w:val="20"/>
          <w:szCs w:val="20"/>
          <w:color w:val="auto"/>
        </w:rPr>
      </w:pPr>
    </w:p>
    <w:p>
      <w:pPr>
        <w:ind w:left="660" w:right="560"/>
        <w:spacing w:after="0" w:line="308"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During the three months ended March 31, 2020, we utilized $74,000 to repurchase 13,767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2019 Repurchase Plan. On March 2, 2020, we suspended repurchases under the 2019 Repurchase Plan.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right="20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2020, there have been no significant changes to the accounting policies that we have deemed critical. These policies are more fully described in our 2019 Form 10-K.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color w:val="auto"/>
        </w:rPr>
        <w:t>There were no off-balance sheet arrangements during the three months ended March 31, 2020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808"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right="12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ind w:left="660" w:right="180"/>
        <w:spacing w:after="0" w:line="303" w:lineRule="auto"/>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CEO and CFO, conducted an evaluation as of the end of the period covered by this report, of the effectiveness of our disclosure controls and procedures, including impacts of COVID-19. Based on that evaluation, our CEO and CFO concluded that, as of the end of the period covered by this report, our disclosure controls and procedures were effective at the reasonable assurance level.</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will continue monitoring and assessing any impacts from COVID-19 on our internal controls.</w:t>
      </w: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2019 Form 10-K filed with the Securities and Exchange Commission on March 23, 2020. There have been no changes from the risk factors set forth in our 2019 Form 10-K, except for the addition of the following:</w:t>
      </w:r>
    </w:p>
    <w:p>
      <w:pPr>
        <w:spacing w:after="0" w:line="183"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and the market price of our common stock have been and will continue to be adversely affected by the COVID-19 pandemic.</w:t>
      </w:r>
    </w:p>
    <w:p>
      <w:pPr>
        <w:spacing w:after="0" w:line="166"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In early January 2020, a human infection originating in China was traced to a novel strain of coronavirus, referred to as COVID-19. COVID-19 has subsequently spread to other parts of the world, including the U.S. and Europe, and has caused unprecedented disruptions in the global economy as efforts to contain the spread of COVID-19 have intensified. On March 11, 2020, the WHO officially declared COVID-19 a pandemic. Our business has been, and will continue to be, adversely affected by the COVID-19 pandemic. Since March 17, 2020, several states, including all of the states in which we have manufacturing facilities, have instituted “shelter-in place” orders as well as guidance in response to the COVID-19 pandemic and the need to contain it. We have carefully reviewed all rules, regulations, and orders and responded accordingly. Currently, all of our operations have been deemed “critical and essential business operations” under the various governmental COVID-19 mandates which has allowed us to continue to operate our business with certain modifications.</w:t>
      </w:r>
    </w:p>
    <w:p>
      <w:pPr>
        <w:spacing w:after="0" w:line="16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impact of the COVID-19 pandemic on our operations is intensified because it is occurring at a time when our business operations have already been negatively affected by a global downturn in the Semi Market. We currently expect that the recovery in the Semi Market may be delayed. In addition, the aftermarket service and support that we provide to our customers has been, and we expect will continue to be, impacted by the COVID-19 pandemic due to travel restrictions and limitations on visitors allowed into customer facilities, which has resulted in some of these activities being reduced or suspended.</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spacing w:after="0" w:line="271" w:lineRule="auto"/>
        <w:rPr>
          <w:sz w:val="20"/>
          <w:szCs w:val="20"/>
          <w:color w:val="auto"/>
        </w:rPr>
      </w:pPr>
      <w:r>
        <w:rPr>
          <w:rFonts w:ascii="Arial" w:cs="Arial" w:eastAsia="Arial" w:hAnsi="Arial"/>
          <w:sz w:val="17"/>
          <w:szCs w:val="17"/>
          <w:color w:val="auto"/>
        </w:rPr>
        <w:t>If the impact of the COVID-19 pandemic is more significant than we currently expect, on top of downturns in the Semi Market, our business operations could be delayed or interrupted. We may determine that we need to take actions to reduce our fixed cost structure with the goal of limiting future losses and maintaining an adequate level of liquidity to operate our business. These actions may include staff reductions, facility closures or other adjustments as we deem necessary. These actions may not be successful in reducing our cost structure sufficiently and we may experience further losses or a reduced level of liquidity which could negatively impact our ability to operate our business. We expect that government and health authorities may announce new or extend existing restrictions, which could require us to make further adjustments to our operations in order to comply with any such restrictions. These adjustments could include additional facility closures which could negatively impact our ability to operate our business.</w:t>
      </w:r>
    </w:p>
    <w:p>
      <w:pPr>
        <w:spacing w:after="0" w:line="178" w:lineRule="exact"/>
        <w:rPr>
          <w:sz w:val="20"/>
          <w:szCs w:val="20"/>
          <w:color w:val="auto"/>
        </w:rPr>
      </w:pPr>
    </w:p>
    <w:p>
      <w:pPr>
        <w:ind w:left="660" w:right="200"/>
        <w:spacing w:after="0" w:line="296" w:lineRule="auto"/>
        <w:rPr>
          <w:sz w:val="20"/>
          <w:szCs w:val="20"/>
          <w:color w:val="auto"/>
        </w:rPr>
      </w:pPr>
      <w:r>
        <w:rPr>
          <w:rFonts w:ascii="Arial" w:cs="Arial" w:eastAsia="Arial" w:hAnsi="Arial"/>
          <w:sz w:val="16"/>
          <w:szCs w:val="16"/>
          <w:color w:val="auto"/>
        </w:rPr>
        <w:t>Generally, global supply chains and the timely availability of products have been, and will continue to be, materially disrupted by quarantines, factory slowdowns or shutdowns, border closings and travel restrictions resulting from the COVID-19 pandemic. We have experienced, and expect that we may continue to experience, price increases and/or lack of availability from our normal suppliers for the materials needed to produce our products in a timely manner and/or with the level of margins we typically expect to achieve. Delays in receipt of materials or price increases in the future could have a material negative impact on our business, results of operations and financial condition.</w:t>
      </w:r>
    </w:p>
    <w:p>
      <w:pPr>
        <w:spacing w:after="0" w:line="161" w:lineRule="exact"/>
        <w:rPr>
          <w:sz w:val="20"/>
          <w:szCs w:val="20"/>
          <w:color w:val="auto"/>
        </w:rPr>
      </w:pPr>
    </w:p>
    <w:p>
      <w:pPr>
        <w:ind w:left="660" w:right="220"/>
        <w:spacing w:after="0" w:line="273" w:lineRule="auto"/>
        <w:rPr>
          <w:sz w:val="20"/>
          <w:szCs w:val="20"/>
          <w:color w:val="auto"/>
        </w:rPr>
      </w:pPr>
      <w:r>
        <w:rPr>
          <w:rFonts w:ascii="Arial" w:cs="Arial" w:eastAsia="Arial" w:hAnsi="Arial"/>
          <w:sz w:val="17"/>
          <w:szCs w:val="17"/>
          <w:color w:val="auto"/>
        </w:rPr>
        <w:t>As a result of the COVID-19 pandemic, a significant number of employees have been authorized to work from home. However, the process of working remotely may result in these employees not being as effective or responsive to our customers’ needs as they would be under more normal conditions. This could result in lost business opportunities or have other negative impacts on our business. There can be no assurances that we can avoid one of our employees contracting COVID-19 and entering our facilities while infected. Should this occur, or should we have employees who become ill or otherwise are unable to work, we may experience limitations in employee resources or may be required to close affected facilities for a time to clean and disinfect appropriately.</w:t>
      </w:r>
    </w:p>
    <w:p>
      <w:pPr>
        <w:spacing w:after="0" w:line="178"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adverse effects of the COVID-19 pandemic on our business could be material in future periods, particularly if there are significant and prolonged economic slowdowns in regions where we derive a significant amount of our revenue or profit, or where our suppliers are located, or if we are forced to close additional facilities and limit or cease manufacturing operations for extended periods of time. We could experience delays in receipt of customer orders, cancellation or postponement of existing orders and/or our ability to fulfill orders placed with us within the order’s specified timeline and for the cost we estimated when we accepted the order may be negatively affected. This could lead to a reduction in revenue and/or an increase in our cost of revenues in future periods and could have a material adverse effect on our business, results of operations and financial condition. The COVID-19 pandemic has also led to extreme volatility in capital markets and has adversely affected, and may continue to adversely affect, the market price of our common stock.</w:t>
      </w:r>
    </w:p>
    <w:p>
      <w:pPr>
        <w:spacing w:after="0" w:line="178" w:lineRule="exact"/>
        <w:rPr>
          <w:sz w:val="20"/>
          <w:szCs w:val="20"/>
          <w:color w:val="auto"/>
        </w:rPr>
      </w:pPr>
    </w:p>
    <w:p>
      <w:pPr>
        <w:ind w:left="660" w:right="60"/>
        <w:spacing w:after="0" w:line="293" w:lineRule="auto"/>
        <w:rPr>
          <w:sz w:val="20"/>
          <w:szCs w:val="20"/>
          <w:color w:val="auto"/>
        </w:rPr>
      </w:pPr>
      <w:r>
        <w:rPr>
          <w:rFonts w:ascii="Arial" w:cs="Arial" w:eastAsia="Arial" w:hAnsi="Arial"/>
          <w:sz w:val="16"/>
          <w:szCs w:val="16"/>
          <w:color w:val="auto"/>
        </w:rPr>
        <w:t>The duration of any business disruption and related financial impact cannot be reasonably estimated at this time but may materially affect our ability to operate our business and result in additional costs. The extent to which the COVID-19 pandemic may impact our results will depend on future developments, which are highly uncertain and cannot be predicted as of the time of this filing, including new information that may emerge concerning the severity of COVID-19 and steps taken to contain COVID-19 or treat its impact, among others. As a result of any negative impact of the COVID-19 pandemic on our business, results of operations, and financial condition, we may determine that our goodwill and long-lived assets are impaired which would result in recording an impairment charge. The amount of any such impairment charge could be material.</w:t>
      </w:r>
    </w:p>
    <w:p>
      <w:pPr>
        <w:spacing w:after="0" w:line="160" w:lineRule="exact"/>
        <w:rPr>
          <w:sz w:val="20"/>
          <w:szCs w:val="20"/>
          <w:color w:val="auto"/>
        </w:rPr>
      </w:pPr>
    </w:p>
    <w:p>
      <w:pPr>
        <w:ind w:left="660" w:right="320"/>
        <w:spacing w:after="0" w:line="282" w:lineRule="auto"/>
        <w:rPr>
          <w:sz w:val="20"/>
          <w:szCs w:val="20"/>
          <w:color w:val="auto"/>
        </w:rPr>
      </w:pPr>
      <w:r>
        <w:rPr>
          <w:rFonts w:ascii="Arial" w:cs="Arial" w:eastAsia="Arial" w:hAnsi="Arial"/>
          <w:sz w:val="18"/>
          <w:szCs w:val="18"/>
          <w:b w:val="1"/>
          <w:bCs w:val="1"/>
          <w:color w:val="auto"/>
        </w:rPr>
        <w:t>The terms and covenants relating to our revolving credit facility could adversely impact our financial performance and liquidity, and thus we may need additional financial resources to maintain our liquidity.</w:t>
      </w:r>
    </w:p>
    <w:p>
      <w:pPr>
        <w:spacing w:after="0" w:line="166"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Our revolving credit facility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revolving credit facility, we would be in default thereunder, and may be required to repay such debt with capital from other sources or otherwise not be able to draw down against our line of credit. Under such circumstances, due to the industry in which we operate, we may have difficulty in locating another lender that would be willing to extend credit to us, and other sources of capital may not be available to us on reasonable terms or at all. In addition, should the impact of the COVID-19 pandemic on our operations, including the disruption to our business caused by potential future closures of our facilities, be more significant than we currently anticipate, we may need additional financial resources, including additional debt or equity financings. There can be no assurance that any such debt or equity financings would be available on favorable terms or rates or at all.</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right="180"/>
        <w:spacing w:after="0" w:line="286" w:lineRule="auto"/>
        <w:rPr>
          <w:sz w:val="20"/>
          <w:szCs w:val="20"/>
          <w:color w:val="auto"/>
        </w:rPr>
      </w:pPr>
      <w:r>
        <w:rPr>
          <w:rFonts w:ascii="Arial" w:cs="Arial" w:eastAsia="Arial" w:hAnsi="Arial"/>
          <w:sz w:val="17"/>
          <w:szCs w:val="17"/>
          <w:color w:val="auto"/>
        </w:rPr>
        <w:t>The following table provides information with respect to purchases made by or on behalf of the Company or any “affiliated purchaser” as defined in Rule 10b-18(a)(3) under the Exchange Act, of our common stock during the three months ended March 31, 2020, including those made pursuant to publicly announced plans or programs and those not made pursuant to publicly announced plans or programs.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Price Paid</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the Plans or</w:t>
            </w:r>
          </w:p>
        </w:tc>
      </w:tr>
      <w:tr>
        <w:trPr>
          <w:trHeight w:val="207"/>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Repurchased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Per Share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1-31</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16"/>
        </w:trPr>
        <w:tc>
          <w:tcPr>
            <w:tcW w:w="4380" w:type="dxa"/>
            <w:vAlign w:val="bottom"/>
            <w:gridSpan w:val="2"/>
          </w:tcPr>
          <w:p>
            <w:pPr>
              <w:spacing w:after="0" w:line="216" w:lineRule="exact"/>
              <w:rPr>
                <w:sz w:val="20"/>
                <w:szCs w:val="20"/>
                <w:color w:val="auto"/>
              </w:rPr>
            </w:pPr>
            <w:r>
              <w:rPr>
                <w:rFonts w:ascii="Arial" w:cs="Arial" w:eastAsia="Arial" w:hAnsi="Arial"/>
                <w:sz w:val="16"/>
                <w:szCs w:val="16"/>
                <w:color w:val="auto"/>
              </w:rPr>
              <w:t>February 1-29</w:t>
            </w:r>
            <w:r>
              <w:rPr>
                <w:rFonts w:ascii="Arial" w:cs="Arial" w:eastAsia="Arial" w:hAnsi="Arial"/>
                <w:sz w:val="25"/>
                <w:szCs w:val="25"/>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9,306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9,306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1,813,000</w:t>
            </w:r>
          </w:p>
        </w:tc>
      </w:tr>
      <w:tr>
        <w:trPr>
          <w:trHeight w:val="216"/>
        </w:trPr>
        <w:tc>
          <w:tcPr>
            <w:tcW w:w="438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March 1-31</w:t>
            </w:r>
            <w:r>
              <w:rPr>
                <w:rFonts w:ascii="Arial" w:cs="Arial" w:eastAsia="Arial" w:hAnsi="Arial"/>
                <w:sz w:val="25"/>
                <w:szCs w:val="25"/>
                <w:color w:val="auto"/>
                <w:vertAlign w:val="superscript"/>
              </w:rPr>
              <w:t>(1)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1,791,000</w:t>
            </w: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13,767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13,767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80" w:hanging="324"/>
        <w:spacing w:after="0" w:line="258" w:lineRule="auto"/>
        <w:tabs>
          <w:tab w:leader="none" w:pos="98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On July 31, 2019, our Board of Directors authorized the repurchase of up to $3.0 million of our common stock from time to time on the open market, in compliance with Rule 10b-18 under the Securities Exchange Act of 1934, or in privately negotiated transactions pursuant to the 2019 Repurchase Plan. Repurchases may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w:t>
      </w:r>
    </w:p>
    <w:p>
      <w:pPr>
        <w:spacing w:after="0" w:line="189" w:lineRule="exact"/>
        <w:rPr>
          <w:rFonts w:ascii="Arial" w:cs="Arial" w:eastAsia="Arial" w:hAnsi="Arial"/>
          <w:sz w:val="27"/>
          <w:szCs w:val="27"/>
          <w:color w:val="auto"/>
          <w:vertAlign w:val="superscript"/>
        </w:rPr>
      </w:pPr>
    </w:p>
    <w:p>
      <w:pPr>
        <w:ind w:left="980" w:right="160"/>
        <w:spacing w:after="0" w:line="308" w:lineRule="auto"/>
        <w:rPr>
          <w:rFonts w:ascii="Arial" w:cs="Arial" w:eastAsia="Arial" w:hAnsi="Arial"/>
          <w:sz w:val="27"/>
          <w:szCs w:val="27"/>
          <w:color w:val="auto"/>
          <w:vertAlign w:val="superscript"/>
        </w:rPr>
      </w:pPr>
      <w:r>
        <w:rPr>
          <w:rFonts w:ascii="Arial" w:cs="Arial" w:eastAsia="Arial" w:hAnsi="Arial"/>
          <w:sz w:val="17"/>
          <w:szCs w:val="17"/>
          <w:color w:val="auto"/>
        </w:rPr>
        <w:t>Through March 31, 2020, we had repurchased 243,075 shares under the 2019 Repurchase Plan at fair market value of $1.2 million. All of the repurchased shares were retired. Fees paid to our broker related to the repurchase of these shares totaled $6,000.</w:t>
      </w:r>
    </w:p>
    <w:p>
      <w:pPr>
        <w:spacing w:after="0" w:line="146" w:lineRule="exact"/>
        <w:rPr>
          <w:rFonts w:ascii="Arial" w:cs="Arial" w:eastAsia="Arial" w:hAnsi="Arial"/>
          <w:sz w:val="27"/>
          <w:szCs w:val="27"/>
          <w:color w:val="auto"/>
          <w:vertAlign w:val="superscript"/>
        </w:rPr>
      </w:pPr>
    </w:p>
    <w:p>
      <w:pPr>
        <w:ind w:left="980"/>
        <w:spacing w:after="0"/>
        <w:rPr>
          <w:rFonts w:ascii="Arial" w:cs="Arial" w:eastAsia="Arial" w:hAnsi="Arial"/>
          <w:sz w:val="27"/>
          <w:szCs w:val="27"/>
          <w:color w:val="auto"/>
          <w:vertAlign w:val="superscript"/>
        </w:rPr>
      </w:pPr>
      <w:r>
        <w:rPr>
          <w:rFonts w:ascii="Arial" w:cs="Arial" w:eastAsia="Arial" w:hAnsi="Arial"/>
          <w:sz w:val="18"/>
          <w:szCs w:val="18"/>
          <w:color w:val="auto"/>
        </w:rPr>
        <w:t>On March 2, 2020, our Board of Directors authorized the suspension of all repurchases under the 2019 Repurchase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Borders>
              <w:bottom w:val="single" w:sz="8" w:color="0000EE"/>
            </w:tcBorders>
            <w:gridSpan w:val="8"/>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Second Amendment to Standard Industrial Lease Agreement, dated January 23, 2020, by and between inTEST Silicon Valley Corporation</w:t>
              </w:r>
            </w:hyperlink>
          </w:p>
        </w:tc>
        <w:tc>
          <w:tcPr>
            <w:tcW w:w="6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and Fremont Business Center, LLC (1)</w:t>
              </w:r>
            </w:hyperlink>
          </w:p>
        </w:tc>
        <w:tc>
          <w:tcPr>
            <w:tcW w:w="7200" w:type="dxa"/>
            <w:vAlign w:val="bottom"/>
            <w:gridSpan w:val="7"/>
          </w:tcPr>
          <w:p>
            <w:pPr>
              <w:spacing w:after="0"/>
              <w:rPr>
                <w:sz w:val="17"/>
                <w:szCs w:val="17"/>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00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Loan and Security Agreement among inTEST Corporation, Ambrell Corporation, inTEST Silicon Valley Corporation, inTEST EMS, LLC,</w:t>
              </w:r>
            </w:hyperlink>
          </w:p>
        </w:tc>
      </w:tr>
      <w:tr>
        <w:trPr>
          <w:trHeight w:val="196"/>
        </w:trPr>
        <w:tc>
          <w:tcPr>
            <w:tcW w:w="860" w:type="dxa"/>
            <w:vAlign w:val="bottom"/>
          </w:tcPr>
          <w:p>
            <w:pPr>
              <w:spacing w:after="0"/>
              <w:rPr>
                <w:sz w:val="17"/>
                <w:szCs w:val="17"/>
                <w:color w:val="auto"/>
              </w:rPr>
            </w:pPr>
          </w:p>
        </w:tc>
        <w:tc>
          <w:tcPr>
            <w:tcW w:w="10020" w:type="dxa"/>
            <w:vAlign w:val="bottom"/>
            <w:gridSpan w:val="10"/>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Temptronic Corporation and M&amp;T Bank dated April 10, 2020. (2)</w:t>
              </w:r>
            </w:hyperlink>
          </w:p>
        </w:tc>
      </w:tr>
      <w:tr>
        <w:trPr>
          <w:trHeight w:val="20"/>
        </w:trPr>
        <w:tc>
          <w:tcPr>
            <w:tcW w:w="8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9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Patents, Trademarks, Copyrights and Licenses Security Agreement, dated April 10, 2020, by inTEST Corporation, Ambrell Corporation,</w:t>
              </w:r>
            </w:hyperlink>
          </w:p>
        </w:tc>
        <w:tc>
          <w:tcPr>
            <w:tcW w:w="16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3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41">
              <w:r>
                <w:rPr>
                  <w:rFonts w:ascii="Arial" w:cs="Arial" w:eastAsia="Arial" w:hAnsi="Arial"/>
                  <w:sz w:val="18"/>
                  <w:szCs w:val="18"/>
                  <w:color w:val="0000EE"/>
                  <w:w w:val="93"/>
                </w:rPr>
                <w:t>inTEST Silicon Valley Corporation, inTEST EMS, LLC, Temptronic Corporation and M&amp;T Bank. (2)</w:t>
              </w:r>
            </w:hyperlink>
          </w:p>
        </w:tc>
        <w:tc>
          <w:tcPr>
            <w:tcW w:w="2640" w:type="dxa"/>
            <w:vAlign w:val="bottom"/>
            <w:gridSpan w:val="5"/>
          </w:tcPr>
          <w:p>
            <w:pPr>
              <w:spacing w:after="0"/>
              <w:rPr>
                <w:sz w:val="17"/>
                <w:szCs w:val="17"/>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0020" w:type="dxa"/>
            <w:vAlign w:val="bottom"/>
            <w:gridSpan w:val="10"/>
          </w:tcPr>
          <w:p>
            <w:pPr>
              <w:spacing w:after="0" w:line="196" w:lineRule="exact"/>
              <w:rPr>
                <w:rFonts w:ascii="Arial" w:cs="Arial" w:eastAsia="Arial" w:hAnsi="Arial"/>
                <w:sz w:val="18"/>
                <w:szCs w:val="18"/>
                <w:color w:val="0000EE"/>
                <w:w w:val="95"/>
              </w:rPr>
            </w:pPr>
            <w:hyperlink r:id="rId42">
              <w:r>
                <w:rPr>
                  <w:rFonts w:ascii="Arial" w:cs="Arial" w:eastAsia="Arial" w:hAnsi="Arial"/>
                  <w:sz w:val="18"/>
                  <w:szCs w:val="18"/>
                  <w:color w:val="0000EE"/>
                  <w:w w:val="95"/>
                </w:rPr>
                <w:t>Surety Agreement, dated April 10, 2020, by Ambrell Corporation, inTEST Silicon Valley Corporation, inTEST EMS, LLC, Temptronic</w:t>
              </w:r>
            </w:hyperlink>
          </w:p>
        </w:tc>
      </w:tr>
      <w:tr>
        <w:trPr>
          <w:trHeight w:val="196"/>
        </w:trPr>
        <w:tc>
          <w:tcPr>
            <w:tcW w:w="860" w:type="dxa"/>
            <w:vAlign w:val="bottom"/>
          </w:tcPr>
          <w:p>
            <w:pPr>
              <w:spacing w:after="0"/>
              <w:rPr>
                <w:sz w:val="17"/>
                <w:szCs w:val="17"/>
                <w:color w:val="auto"/>
              </w:rPr>
            </w:pPr>
          </w:p>
        </w:tc>
        <w:tc>
          <w:tcPr>
            <w:tcW w:w="9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Corporation and M&amp;T Bank. (2)</w:t>
              </w:r>
            </w:hyperlink>
          </w:p>
        </w:tc>
        <w:tc>
          <w:tcPr>
            <w:tcW w:w="240" w:type="dxa"/>
            <w:vAlign w:val="bottom"/>
            <w:gridSpan w:val="4"/>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0020" w:type="dxa"/>
            <w:vAlign w:val="bottom"/>
            <w:gridSpan w:val="10"/>
          </w:tcPr>
          <w:p>
            <w:pPr>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Revolver Note, dated April 10, 2020. (2)</w:t>
              </w:r>
            </w:hyperlink>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10020" w:type="dxa"/>
            <w:vAlign w:val="bottom"/>
            <w:gridSpan w:val="10"/>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Amended and Restated Change of Control Agreement dated April 29, 2020 between the Company and James Pelrin.</w:t>
              </w:r>
            </w:hyperlink>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1002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Amended and Restated Change of Control Agreement dated April 29, 2020 between the Company and Hugh T. Regan, Jr</w:t>
              </w:r>
              <w:r>
                <w:rPr>
                  <w:rFonts w:ascii="Arial" w:cs="Arial" w:eastAsia="Arial" w:hAnsi="Arial"/>
                  <w:sz w:val="18"/>
                  <w:szCs w:val="18"/>
                  <w:color w:val="0000EE"/>
                </w:rPr>
                <w:t>.</w:t>
              </w:r>
            </w:hyperlink>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10"/>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Certification of Chief Executive Officer pursuant to Rule 13a-14(a).</w:t>
              </w:r>
            </w:hyperlink>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10"/>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Certification of Chief Financial Officer pursuant to Rule 13a-14(a).</w:t>
              </w:r>
            </w:hyperlink>
          </w:p>
        </w:tc>
      </w:tr>
      <w:tr>
        <w:trPr>
          <w:trHeight w:val="190"/>
        </w:trPr>
        <w:tc>
          <w:tcPr>
            <w:tcW w:w="86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10020" w:type="dxa"/>
            <w:vAlign w:val="bottom"/>
            <w:tcBorders>
              <w:bottom w:val="single" w:sz="8" w:color="0000EE"/>
            </w:tcBorders>
            <w:gridSpan w:val="10"/>
          </w:tcPr>
          <w:p>
            <w:pPr>
              <w:spacing w:after="0" w:line="190"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Certification of Chief Executive Officer furnished pursuant to 18 U.S.C. Section 1350, as adopted pursuant to Section 906 of the Sarbanes-</w:t>
              </w:r>
            </w:hyperlink>
          </w:p>
        </w:tc>
      </w:tr>
      <w:tr>
        <w:trPr>
          <w:trHeight w:val="196"/>
        </w:trPr>
        <w:tc>
          <w:tcPr>
            <w:tcW w:w="8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Oxley Act of 2002.</w:t>
              </w:r>
            </w:hyperlink>
          </w:p>
        </w:tc>
        <w:tc>
          <w:tcPr>
            <w:tcW w:w="8620" w:type="dxa"/>
            <w:vAlign w:val="bottom"/>
            <w:gridSpan w:val="9"/>
          </w:tcPr>
          <w:p>
            <w:pPr>
              <w:spacing w:after="0"/>
              <w:rPr>
                <w:sz w:val="17"/>
                <w:szCs w:val="17"/>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9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Certification of Chief Financial Officer furnished pursuant to 18 U.S.C. Section 1350, as adopted pursuant to Section 906 of the Sarbanes-</w:t>
              </w:r>
            </w:hyperlink>
          </w:p>
        </w:tc>
        <w:tc>
          <w:tcPr>
            <w:tcW w:w="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Oxley Act of 2002.</w:t>
              </w:r>
            </w:hyperlink>
          </w:p>
        </w:tc>
        <w:tc>
          <w:tcPr>
            <w:tcW w:w="8620" w:type="dxa"/>
            <w:vAlign w:val="bottom"/>
            <w:gridSpan w:val="9"/>
          </w:tcPr>
          <w:p>
            <w:pPr>
              <w:spacing w:after="0"/>
              <w:rPr>
                <w:sz w:val="17"/>
                <w:szCs w:val="17"/>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10"/>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660" w:right="18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January 23, 2020, File No. 001-36117, filed January 28, 2020, and incorporated herein by reference.</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10, 2020, File No. 001-36117, filed April 15, 2020, and incorporated herein by reference.</w:t>
      </w:r>
    </w:p>
    <w:p>
      <w:pPr>
        <w:spacing w:after="0" w:line="1" w:lineRule="exact"/>
        <w:rPr>
          <w:sz w:val="20"/>
          <w:szCs w:val="20"/>
          <w:color w:val="auto"/>
        </w:rPr>
      </w:pPr>
    </w:p>
    <w:p>
      <w:pPr>
        <w:jc w:val="center"/>
        <w:ind w:left="5480" w:right="1080" w:hanging="5148"/>
        <w:spacing w:after="0" w:line="542" w:lineRule="auto"/>
        <w:tabs>
          <w:tab w:leader="none" w:pos="6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80" w:type="dxa"/>
            <w:vAlign w:val="bottom"/>
            <w:gridSpan w:val="4"/>
          </w:tcPr>
          <w:p>
            <w:pPr>
              <w:ind w:left="1660"/>
              <w:spacing w:after="0"/>
              <w:rPr>
                <w:sz w:val="20"/>
                <w:szCs w:val="20"/>
                <w:color w:val="auto"/>
              </w:rPr>
            </w:pPr>
            <w:r>
              <w:rPr>
                <w:rFonts w:ascii="Arial" w:cs="Arial" w:eastAsia="Arial" w:hAnsi="Arial"/>
                <w:sz w:val="18"/>
                <w:szCs w:val="18"/>
                <w:b w:val="1"/>
                <w:bCs w:val="1"/>
                <w:color w:val="auto"/>
              </w:rPr>
              <w:t>inTEST Corporation</w:t>
            </w:r>
          </w:p>
        </w:tc>
      </w:tr>
      <w:tr>
        <w:trPr>
          <w:trHeight w:val="84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May 13, 2020</w:t>
            </w:r>
          </w:p>
        </w:tc>
        <w:tc>
          <w:tcPr>
            <w:tcW w:w="166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James Pelrin</w:t>
            </w:r>
          </w:p>
        </w:tc>
        <w:tc>
          <w:tcPr>
            <w:tcW w:w="2380" w:type="dxa"/>
            <w:vAlign w:val="bottom"/>
            <w:gridSpan w:val="2"/>
          </w:tcPr>
          <w:p>
            <w:pPr>
              <w:spacing w:after="0"/>
              <w:rPr>
                <w:sz w:val="24"/>
                <w:szCs w:val="24"/>
                <w:color w:val="auto"/>
              </w:rPr>
            </w:pPr>
          </w:p>
        </w:tc>
      </w:tr>
      <w:tr>
        <w:trPr>
          <w:trHeight w:val="202"/>
        </w:trPr>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80" w:type="dxa"/>
            <w:vAlign w:val="bottom"/>
            <w:gridSpan w:val="4"/>
          </w:tcPr>
          <w:p>
            <w:pPr>
              <w:ind w:left="1660"/>
              <w:spacing w:after="0" w:line="202" w:lineRule="exact"/>
              <w:rPr>
                <w:sz w:val="20"/>
                <w:szCs w:val="20"/>
                <w:color w:val="auto"/>
              </w:rPr>
            </w:pPr>
            <w:r>
              <w:rPr>
                <w:rFonts w:ascii="Arial" w:cs="Arial" w:eastAsia="Arial" w:hAnsi="Arial"/>
                <w:sz w:val="18"/>
                <w:szCs w:val="18"/>
                <w:color w:val="auto"/>
              </w:rPr>
              <w:t>James Pelrin</w:t>
            </w: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80" w:type="dxa"/>
            <w:vAlign w:val="bottom"/>
            <w:gridSpan w:val="4"/>
          </w:tcPr>
          <w:p>
            <w:pPr>
              <w:ind w:left="16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000" w:type="dxa"/>
            <w:vAlign w:val="bottom"/>
          </w:tcPr>
          <w:p>
            <w:pPr>
              <w:spacing w:after="0"/>
              <w:rPr>
                <w:sz w:val="20"/>
                <w:szCs w:val="20"/>
                <w:color w:val="auto"/>
              </w:rPr>
            </w:pPr>
            <w:r>
              <w:rPr>
                <w:rFonts w:ascii="Arial" w:cs="Arial" w:eastAsia="Arial" w:hAnsi="Arial"/>
                <w:sz w:val="18"/>
                <w:szCs w:val="18"/>
                <w:color w:val="auto"/>
                <w:w w:val="89"/>
              </w:rPr>
              <w:t>May 13, 2020</w:t>
            </w:r>
          </w:p>
        </w:tc>
        <w:tc>
          <w:tcPr>
            <w:tcW w:w="166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2"/>
        </w:trPr>
        <w:tc>
          <w:tcPr>
            <w:tcW w:w="5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Hugh T. Regan, Jr.</w:t>
            </w:r>
          </w:p>
        </w:tc>
        <w:tc>
          <w:tcPr>
            <w:tcW w:w="196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80" w:type="dxa"/>
            <w:vAlign w:val="bottom"/>
            <w:gridSpan w:val="4"/>
          </w:tcPr>
          <w:p>
            <w:pPr>
              <w:ind w:left="1660"/>
              <w:spacing w:after="0"/>
              <w:rPr>
                <w:sz w:val="20"/>
                <w:szCs w:val="20"/>
                <w:color w:val="auto"/>
              </w:rPr>
            </w:pPr>
            <w:r>
              <w:rPr>
                <w:rFonts w:ascii="Arial" w:cs="Arial" w:eastAsia="Arial" w:hAnsi="Arial"/>
                <w:sz w:val="18"/>
                <w:szCs w:val="18"/>
                <w:i w:val="1"/>
                <w:iCs w:val="1"/>
                <w:color w:val="auto"/>
                <w:w w:val="91"/>
              </w:rPr>
              <w:t>Secretary, Treasurer and Chief Financial Officer</w:t>
            </w:r>
          </w:p>
        </w:tc>
      </w:tr>
      <w:tr>
        <w:trPr>
          <w:trHeight w:val="432"/>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80" w:type="dxa"/>
            <w:vAlign w:val="bottom"/>
            <w:gridSpan w:val="4"/>
          </w:tcPr>
          <w:p>
            <w:pPr>
              <w:jc w:val="right"/>
              <w:ind w:right="110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0680"/>
          </w:cols>
          <w:pgMar w:left="320" w:top="125" w:right="8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10.6</w:t>
      </w:r>
    </w:p>
    <w:p>
      <w:pPr>
        <w:spacing w:after="0" w:line="22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inTEST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-121920</wp:posOffset>
            </wp:positionV>
            <wp:extent cx="26035" cy="685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6035" cy="68580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804 East Gate Drive,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33997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339975" cy="34290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Mt. Laurel, NJ 08054</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Phone (856) 505-8800</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https://www.intest.com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James Pelrin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inTEST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441 Hampden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Mansfield, MA 02048</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AMENDED AND RESTATED CHANGE OF CONTROL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Jim:</w:t>
      </w:r>
    </w:p>
    <w:p>
      <w:pPr>
        <w:spacing w:after="0" w:line="225" w:lineRule="exact"/>
        <w:rPr>
          <w:sz w:val="20"/>
          <w:szCs w:val="20"/>
          <w:color w:val="auto"/>
        </w:rPr>
      </w:pPr>
    </w:p>
    <w:p>
      <w:pPr>
        <w:ind w:right="100" w:firstLine="1296"/>
        <w:spacing w:after="0" w:line="301" w:lineRule="auto"/>
        <w:rPr>
          <w:sz w:val="20"/>
          <w:szCs w:val="20"/>
          <w:color w:val="auto"/>
        </w:rPr>
      </w:pPr>
      <w:r>
        <w:rPr>
          <w:rFonts w:ascii="Arial" w:cs="Arial" w:eastAsia="Arial" w:hAnsi="Arial"/>
          <w:sz w:val="16"/>
          <w:szCs w:val="16"/>
          <w:color w:val="auto"/>
        </w:rPr>
        <w:t>The Board of Directors (the “Board”) believes that it is in the best interests of inTEST Corporation, a Delaware corporation (“inTEST”), and its stockholders to amend and restate the commitments set forth in our letter dated May 5, 2008 regarding your future employment with inTEST. As a result, the Board hereby offers to you the benefits described below. If you desire to accept the benefits described below, you must sign the copy of this Amended and Restated Change of Control Agreement (the “Agreement”) which is enclosed and return it to me on or before April 29, 2020.</w:t>
      </w:r>
    </w:p>
    <w:p>
      <w:pPr>
        <w:spacing w:after="0" w:line="153" w:lineRule="exact"/>
        <w:rPr>
          <w:sz w:val="20"/>
          <w:szCs w:val="20"/>
          <w:color w:val="auto"/>
        </w:rPr>
      </w:pPr>
    </w:p>
    <w:p>
      <w:pPr>
        <w:ind w:left="1020" w:hanging="364"/>
        <w:spacing w:after="0"/>
        <w:tabs>
          <w:tab w:leader="none" w:pos="10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This Agreement is effective immediately upon your acceptance as described above and will continue in effect as long as you are actively employed by inTEST, unless you and inTEST agree in writing to its termination or amendment and restatement.</w:t>
      </w:r>
    </w:p>
    <w:p>
      <w:pPr>
        <w:spacing w:after="0" w:line="166" w:lineRule="exact"/>
        <w:rPr>
          <w:sz w:val="20"/>
          <w:szCs w:val="20"/>
          <w:color w:val="auto"/>
        </w:rPr>
      </w:pPr>
    </w:p>
    <w:p>
      <w:pPr>
        <w:ind w:left="1020" w:hanging="364"/>
        <w:spacing w:after="0"/>
        <w:tabs>
          <w:tab w:leader="none" w:pos="10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COMPENSATION</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311" w:lineRule="auto"/>
        <w:rPr>
          <w:sz w:val="20"/>
          <w:szCs w:val="20"/>
          <w:color w:val="auto"/>
        </w:rPr>
      </w:pPr>
      <w:r>
        <w:rPr>
          <w:rFonts w:ascii="Arial" w:cs="Arial" w:eastAsia="Arial" w:hAnsi="Arial"/>
          <w:sz w:val="16"/>
          <w:szCs w:val="16"/>
          <w:color w:val="auto"/>
        </w:rPr>
        <w:t>If your employment with inTEST is terminated without “Cause” (as defined in Section 6) at any time within two years following a “Change of Control” (as defined in Section 4), you will receive the “Termination Benefits” (as defined in Section 3). You will also receive the Termination Benefits if you terminate your employment for “Good Reason” (as defined in Section 5) at any time within two years following a Change of Control.</w:t>
      </w:r>
    </w:p>
    <w:p>
      <w:pPr>
        <w:spacing w:after="0" w:line="149"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You are not entitled to receive the Termination Benefits if your employment is terminated by you or inTEST for any or no reason before a Change of Control occurs or more than two years after a Change of Control has occurred.</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In order to receive the Termination Benefits, you must execute any release of claims that you may have pursuant to this Agreement (but not any other claims) that may be requested by inTEST.</w:t>
      </w:r>
    </w:p>
    <w:p>
      <w:pPr>
        <w:spacing w:after="0" w:line="170"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The Termination Benefits will be paid to you under the terms and conditions hereof, without regard to whether you look for or obtain alternative employment following your termination of employment with inTEST.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1020" w:hanging="364"/>
        <w:spacing w:after="0"/>
        <w:tabs>
          <w:tab w:leader="none" w:pos="10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BENEFITS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“Termination Benefits” will mean and include the following:</w:t>
      </w:r>
    </w:p>
    <w:p>
      <w:pPr>
        <w:spacing w:after="0" w:line="225" w:lineRule="exact"/>
        <w:rPr>
          <w:sz w:val="20"/>
          <w:szCs w:val="20"/>
          <w:color w:val="auto"/>
        </w:rPr>
      </w:pPr>
    </w:p>
    <w:p>
      <w:pPr>
        <w:ind w:right="720" w:firstLine="1304"/>
        <w:spacing w:after="0" w:line="277" w:lineRule="auto"/>
        <w:tabs>
          <w:tab w:leader="none" w:pos="17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 period of one year from your termination (the “Benefit Period”), payment of a prorated portion of your then-current annualized salary (“Base Salary”) on the same basis that you were paid immediately prior to your termination;</w:t>
      </w:r>
    </w:p>
    <w:p>
      <w:pPr>
        <w:spacing w:after="0" w:line="170" w:lineRule="exact"/>
        <w:rPr>
          <w:rFonts w:ascii="Arial" w:cs="Arial" w:eastAsia="Arial" w:hAnsi="Arial"/>
          <w:sz w:val="18"/>
          <w:szCs w:val="18"/>
          <w:color w:val="auto"/>
        </w:rPr>
      </w:pPr>
    </w:p>
    <w:p>
      <w:pPr>
        <w:ind w:right="20" w:firstLine="1304"/>
        <w:spacing w:after="0" w:line="263" w:lineRule="auto"/>
        <w:tabs>
          <w:tab w:leader="none" w:pos="17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of any bonus, variable, or incentive compensation (the “Variable Component”) you would otherwise be eligible to receive for the year in which your termination occurs and for that portion of the following year which is included in the Benefit Period, such Variable Component to be calculated and paid as provided below; and</w:t>
      </w:r>
    </w:p>
    <w:p>
      <w:pPr>
        <w:spacing w:after="0" w:line="183" w:lineRule="exact"/>
        <w:rPr>
          <w:rFonts w:ascii="Arial" w:cs="Arial" w:eastAsia="Arial" w:hAnsi="Arial"/>
          <w:sz w:val="18"/>
          <w:szCs w:val="18"/>
          <w:color w:val="auto"/>
        </w:rPr>
      </w:pPr>
    </w:p>
    <w:p>
      <w:pPr>
        <w:ind w:right="80" w:firstLine="1304"/>
        <w:spacing w:after="0" w:line="311" w:lineRule="auto"/>
        <w:tabs>
          <w:tab w:leader="none" w:pos="17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Benefit Period, continuation of coverage under the group benefit plans in which you participate immediately prior to your termination, including, without limitation, life, disability, accident and group health insurance benefits coverage for you and your eligible dependents (“Benefits”), such Benefits to be provided on substantially the same terms and conditions as they were provided immediately prior to your termination.</w:t>
      </w:r>
    </w:p>
    <w:p>
      <w:pPr>
        <w:spacing w:after="0" w:line="14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The Variable Component of your Termination Benefits will equal the sum of (i) the Variable Component to which you would have been entitled for the year during which your termination occurs (calculated after annualizing inTEST’s consolidated financial results through the date of termination if such Variable Component is based upon a percentage of profits) (the “Annual Amount”), and (ii) an amount equal to the product of (x) the Annual Amount times (y) a fraction the numerator of which is the number of days in the year following termination which is included in the Benefit Period and the denominator of which is 365 (the “Prorated Amount”). Both the Annual Amount and the Prorated Amount will be paid to you not later than March 15th of the year following your termination.</w:t>
      </w:r>
    </w:p>
    <w:p>
      <w:pPr>
        <w:spacing w:after="0" w:line="192" w:lineRule="exact"/>
        <w:rPr>
          <w:sz w:val="20"/>
          <w:szCs w:val="20"/>
          <w:color w:val="auto"/>
        </w:rPr>
      </w:pPr>
    </w:p>
    <w:p>
      <w:pPr>
        <w:jc w:val="both"/>
        <w:ind w:right="120" w:firstLine="1296"/>
        <w:spacing w:after="0" w:line="311" w:lineRule="auto"/>
        <w:rPr>
          <w:sz w:val="20"/>
          <w:szCs w:val="20"/>
          <w:color w:val="auto"/>
        </w:rPr>
      </w:pPr>
      <w:r>
        <w:rPr>
          <w:rFonts w:ascii="Arial" w:cs="Arial" w:eastAsia="Arial" w:hAnsi="Arial"/>
          <w:sz w:val="16"/>
          <w:szCs w:val="16"/>
          <w:color w:val="auto"/>
        </w:rPr>
        <w:t>Notwithstanding the foregoing, if you terminate your employment for Good Reason, your Termination Benefits will be based upon the greater of (i) your Base Salary, Variable Component and Benefits immediately prior to your termination or (ii) your Base Salary, Variable Component and Benefits immediately prior to the Change of Control which gives rise to your right to receive Termination Benefits under this Agreement.</w:t>
      </w:r>
    </w:p>
    <w:p>
      <w:pPr>
        <w:spacing w:after="0" w:line="149"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inTEST does not intend to provide duplicative Benefits. Consequently, Benefits otherwise receivable pursuant to this Section will be reduced or eliminated if and to the extent that you receive comparable Benefits from any other source (for example, another employer); provided, however, that you will have no obligation to seek, solicit or accept employment from another employer in order to receive such benefits.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5" w:name="page36"/>
    <w:bookmarkEnd w:id="35"/>
    <w:p>
      <w:pPr>
        <w:ind w:left="1020" w:hanging="364"/>
        <w:spacing w:after="0"/>
        <w:tabs>
          <w:tab w:leader="none" w:pos="10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purposes of this Agreement, a “Change of Control” will be deemed to have occurred upon the earliest to occur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ind w:right="180" w:firstLine="1304"/>
        <w:spacing w:after="0" w:line="277" w:lineRule="auto"/>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The date the stockholders of inTEST (or the Board of Directors, if stockholder action is not required) approve a plan or other arrangement pursuant to which inTEST will be dissolved or liquidated;</w:t>
      </w:r>
    </w:p>
    <w:p>
      <w:pPr>
        <w:spacing w:after="0" w:line="170" w:lineRule="exact"/>
        <w:rPr>
          <w:rFonts w:ascii="Arial" w:cs="Arial" w:eastAsia="Arial" w:hAnsi="Arial"/>
          <w:sz w:val="18"/>
          <w:szCs w:val="18"/>
          <w:color w:val="auto"/>
        </w:rPr>
      </w:pPr>
    </w:p>
    <w:p>
      <w:pPr>
        <w:ind w:firstLine="1304"/>
        <w:spacing w:after="0" w:line="254" w:lineRule="auto"/>
        <w:tabs>
          <w:tab w:leader="none" w:pos="173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Sale of Assets</w:t>
      </w:r>
      <w:r>
        <w:rPr>
          <w:rFonts w:ascii="Arial" w:cs="Arial" w:eastAsia="Arial" w:hAnsi="Arial"/>
          <w:sz w:val="18"/>
          <w:szCs w:val="18"/>
          <w:color w:val="auto"/>
        </w:rPr>
        <w:t>. Upon approval of the stockholders of inTEST (or the Board of Directors, if stockholder action is not required), the date inTEST consummates a definitive agreement to sell or otherwise dispose of all or substantially all of the assets of inTEST to any “Unrelated Person” or “Unrelated Persons” (as defined below) acting in concert with one another. “Person” means any entity, person or group (within the meaning of Section 13(d)(3) or Section 14(d)(2) of the Exchange Act of 1934). “Unrelated Person” means any Person other than (1) inTEST or any of its Affiliates or any employee benefit plan (or related trust) sponsored or maintained by inTEST or any of its Affiliates or (2) any Person who, as of the date of this Agreement, is the beneficial owner of at least twenty percent (20%) of the outstanding Common Stock of inTEST. “Affiliates” means any entity in which inTEST owns, directly or indirectly, 50 percent or more of the voting equity;</w:t>
      </w:r>
    </w:p>
    <w:p>
      <w:pPr>
        <w:spacing w:after="0" w:line="194" w:lineRule="exact"/>
        <w:rPr>
          <w:rFonts w:ascii="Arial" w:cs="Arial" w:eastAsia="Arial" w:hAnsi="Arial"/>
          <w:sz w:val="18"/>
          <w:szCs w:val="18"/>
          <w:color w:val="auto"/>
        </w:rPr>
      </w:pPr>
    </w:p>
    <w:p>
      <w:pPr>
        <w:ind w:right="40" w:firstLine="1304"/>
        <w:spacing w:after="0" w:line="271" w:lineRule="auto"/>
        <w:tabs>
          <w:tab w:leader="none" w:pos="172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Merger or Consolidation</w:t>
      </w:r>
      <w:r>
        <w:rPr>
          <w:rFonts w:ascii="Arial" w:cs="Arial" w:eastAsia="Arial" w:hAnsi="Arial"/>
          <w:sz w:val="17"/>
          <w:szCs w:val="17"/>
          <w:color w:val="auto"/>
        </w:rPr>
        <w:t>. Upon approval of the stockholders of inTEST (or the Board of Directors, if stockholder action is not required) and the stockholders of the other constituent corporation (or its board of directors if stockholder action is not required), the date inTEST consummates a merger or consolidation of inTEST with or into such other corporation, and such other corporation is an Unrelated Person, other than a merger or consolidation of inTEST in which holders of shares of the Common Stock of inTEST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inTEST immediately before the merger or consolidation;</w:t>
      </w:r>
    </w:p>
    <w:p>
      <w:pPr>
        <w:spacing w:after="0" w:line="178" w:lineRule="exact"/>
        <w:rPr>
          <w:rFonts w:ascii="Arial" w:cs="Arial" w:eastAsia="Arial" w:hAnsi="Arial"/>
          <w:sz w:val="17"/>
          <w:szCs w:val="17"/>
          <w:color w:val="auto"/>
        </w:rPr>
      </w:pPr>
    </w:p>
    <w:p>
      <w:pPr>
        <w:ind w:right="440" w:firstLine="1304"/>
        <w:spacing w:after="0" w:line="277" w:lineRule="auto"/>
        <w:tabs>
          <w:tab w:leader="none" w:pos="173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Change in Beneficial Owner</w:t>
      </w:r>
      <w:r>
        <w:rPr>
          <w:rFonts w:ascii="Arial" w:cs="Arial" w:eastAsia="Arial" w:hAnsi="Arial"/>
          <w:sz w:val="18"/>
          <w:szCs w:val="18"/>
          <w:color w:val="auto"/>
        </w:rPr>
        <w:t>. The date any Unrelated Person will have become the beneficial owner of, or will have obtained voting control over, more than forty percent (40%) of the outstanding shares of the Common Stock of inTEST; or</w:t>
      </w:r>
    </w:p>
    <w:p>
      <w:pPr>
        <w:spacing w:after="0" w:line="170" w:lineRule="exact"/>
        <w:rPr>
          <w:rFonts w:ascii="Arial" w:cs="Arial" w:eastAsia="Arial" w:hAnsi="Arial"/>
          <w:sz w:val="18"/>
          <w:szCs w:val="18"/>
          <w:color w:val="auto"/>
        </w:rPr>
      </w:pPr>
    </w:p>
    <w:p>
      <w:pPr>
        <w:ind w:right="40" w:firstLine="1304"/>
        <w:spacing w:after="0" w:line="293" w:lineRule="auto"/>
        <w:tabs>
          <w:tab w:leader="none" w:pos="17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Change in Majority of the Board of Directors</w:t>
      </w:r>
      <w:r>
        <w:rPr>
          <w:rFonts w:ascii="Arial" w:cs="Arial" w:eastAsia="Arial" w:hAnsi="Arial"/>
          <w:sz w:val="16"/>
          <w:szCs w:val="16"/>
          <w:color w:val="auto"/>
        </w:rPr>
        <w:t>. The date individuals who, as of the date of this Agreement, constitute the Board of Directors of inTEST (the “Incumbent Directors”) cease for any reason to constitute a majority of the members of the Board; provided that any individual who becomes a director, after the date of this Agreement, whose election or nomination for election by inTEST’s stockholders was approved by a majority of the Incumbent Directors (other than an election or nomination of an individual whose initial assumption of office is in connection with an actual or threatened “election contest” relating to the election of the directors of inTEST (as such terms are used in Rule 14a-11 under the Exchange Act), “tender offer” (as such term is used in Section 14(d) of the Exchange Act) or a proposed merger) will be deemed to be an Incumbent Director.</w:t>
      </w:r>
    </w:p>
    <w:p>
      <w:pPr>
        <w:spacing w:after="0" w:line="164"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Notwithstanding any provision herein to the contrary, the filing of a proceeding for the reorganization of inTEST under Chapter 11 of the Federal Bankruptcy Code or any successor or other statute of similar import will not be deemed to be a Change of Control for purpose of this Agreement.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6" w:name="page37"/>
    <w:bookmarkEnd w:id="36"/>
    <w:p>
      <w:pPr>
        <w:ind w:left="1020" w:hanging="364"/>
        <w:spacing w:after="0"/>
        <w:tabs>
          <w:tab w:leader="none" w:pos="10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 REASON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“Good Reason” will mean and include the following situations:</w:t>
      </w:r>
    </w:p>
    <w:p>
      <w:pPr>
        <w:spacing w:after="0" w:line="225" w:lineRule="exact"/>
        <w:rPr>
          <w:sz w:val="20"/>
          <w:szCs w:val="20"/>
          <w:color w:val="auto"/>
        </w:rPr>
      </w:pPr>
    </w:p>
    <w:p>
      <w:pPr>
        <w:ind w:left="1720" w:hanging="416"/>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material adverse change in your status, responsibilities or Benefits;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failure to nominate or elect you as President and Chief Executive Officer;</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causing or requiring you to report to anyone other than the inTEST Board of Directors;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assignment to you of duties materially inconsistent with your position as President and Chief Executive Officer;</w:t>
      </w:r>
    </w:p>
    <w:p>
      <w:pPr>
        <w:spacing w:after="0" w:line="225" w:lineRule="exact"/>
        <w:rPr>
          <w:rFonts w:ascii="Arial" w:cs="Arial" w:eastAsia="Arial" w:hAnsi="Arial"/>
          <w:sz w:val="18"/>
          <w:szCs w:val="18"/>
          <w:color w:val="auto"/>
        </w:rPr>
      </w:pPr>
    </w:p>
    <w:p>
      <w:pPr>
        <w:ind w:firstLine="1304"/>
        <w:spacing w:after="0" w:line="259" w:lineRule="auto"/>
        <w:tabs>
          <w:tab w:leader="none" w:pos="172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reduction of your annual base salary or annual Variable Component (or, if applicable, a change in the formula for determining your annual Variable Component which would have the effect of reducing your annual Variable Component as it would otherwise have been calculated immediately prior to the Change of Control that gives rise to your right to receive Termination Benefits as provided in this Agreement) or other reduction in compensation or benefits, or</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requiring you to be principally based at any office or location more than 30 miles from the current offices of inTEST in Mansfield,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Massachusetts.</w:t>
      </w:r>
    </w:p>
    <w:p>
      <w:pPr>
        <w:spacing w:after="0" w:line="206" w:lineRule="exact"/>
        <w:rPr>
          <w:rFonts w:ascii="Arial" w:cs="Arial" w:eastAsia="Arial" w:hAnsi="Arial"/>
          <w:sz w:val="16"/>
          <w:szCs w:val="16"/>
          <w:color w:val="auto"/>
        </w:rPr>
      </w:pPr>
    </w:p>
    <w:p>
      <w:pPr>
        <w:ind w:left="1020" w:hanging="364"/>
        <w:spacing w:after="0"/>
        <w:tabs>
          <w:tab w:leader="none" w:pos="10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CAUSE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“Cause” will mean and include the following situations:</w:t>
      </w:r>
    </w:p>
    <w:p>
      <w:pPr>
        <w:spacing w:after="0" w:line="225" w:lineRule="exact"/>
        <w:rPr>
          <w:sz w:val="20"/>
          <w:szCs w:val="20"/>
          <w:color w:val="auto"/>
        </w:rPr>
      </w:pPr>
    </w:p>
    <w:p>
      <w:pPr>
        <w:ind w:firstLine="1304"/>
        <w:spacing w:after="0" w:line="277" w:lineRule="auto"/>
        <w:tabs>
          <w:tab w:leader="none" w:pos="17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conviction by a court of competent jurisdiction of any criminal offense involving dishonesty or breach of trust or any felony or crime of moral turpitude;</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violation of inTEST’s policies or the inTEST’s Code of Ethics;</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commission of an act of fraud upon inTEST; or</w:t>
      </w:r>
    </w:p>
    <w:p>
      <w:pPr>
        <w:spacing w:after="0" w:line="225" w:lineRule="exact"/>
        <w:rPr>
          <w:rFonts w:ascii="Arial" w:cs="Arial" w:eastAsia="Arial" w:hAnsi="Arial"/>
          <w:sz w:val="18"/>
          <w:szCs w:val="18"/>
          <w:color w:val="auto"/>
        </w:rPr>
      </w:pPr>
    </w:p>
    <w:p>
      <w:pPr>
        <w:ind w:right="120" w:firstLine="1304"/>
        <w:spacing w:after="0" w:line="263" w:lineRule="auto"/>
        <w:tabs>
          <w:tab w:leader="none" w:pos="17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willful refusal to perform the duties reasonably assigned to you by the Board of Directors of inTEST, which failure or breach continues for more than ten days (or such longer period, not in excess of 30 days, as may be required to cure such failure) after written notice thereof is given to you.</w:t>
      </w:r>
    </w:p>
    <w:p>
      <w:pPr>
        <w:spacing w:after="0" w:line="183" w:lineRule="exact"/>
        <w:rPr>
          <w:rFonts w:ascii="Arial" w:cs="Arial" w:eastAsia="Arial" w:hAnsi="Arial"/>
          <w:sz w:val="18"/>
          <w:szCs w:val="18"/>
          <w:color w:val="auto"/>
        </w:rPr>
      </w:pPr>
    </w:p>
    <w:p>
      <w:pPr>
        <w:ind w:left="5580" w:hanging="106"/>
        <w:spacing w:after="0"/>
        <w:tabs>
          <w:tab w:leader="none" w:pos="5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ind w:left="1020" w:hanging="364"/>
        <w:spacing w:after="0"/>
        <w:tabs>
          <w:tab w:leader="none" w:pos="10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CEILING ON BENEFITS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Under the “golden parachute” rules in the Internal Revenue Code (the “Code”) you will be subject to a 20% excise tax (over and above regular income tax) on any “excess parachute payment” that you receive following a Change of Control, and inTEST will not be permitted to deduct any such excess parachute payment. Very generally, compensation paid to you that is contingent upon a Change of Control will be considered a “parachute payment” if the present value of such consideration equals or exceeds three times your average annual compensation from inTEST for the five years prior to the Change of Control. If payments are considered “parachute payments,” then all such payments to you in excess of your base annual compensation will be considered “excess parachute payments” and will be subject to the 20% excise tax imposed under Section 4999 of the Code.</w:t>
      </w:r>
    </w:p>
    <w:p>
      <w:pPr>
        <w:spacing w:after="0" w:line="164" w:lineRule="exact"/>
        <w:rPr>
          <w:sz w:val="20"/>
          <w:szCs w:val="20"/>
          <w:color w:val="auto"/>
        </w:rPr>
      </w:pPr>
    </w:p>
    <w:p>
      <w:pPr>
        <w:ind w:right="540" w:firstLine="1296"/>
        <w:spacing w:after="0" w:line="286" w:lineRule="auto"/>
        <w:rPr>
          <w:sz w:val="20"/>
          <w:szCs w:val="20"/>
          <w:color w:val="auto"/>
        </w:rPr>
      </w:pPr>
      <w:r>
        <w:rPr>
          <w:rFonts w:ascii="Arial" w:cs="Arial" w:eastAsia="Arial" w:hAnsi="Arial"/>
          <w:sz w:val="17"/>
          <w:szCs w:val="17"/>
          <w:color w:val="auto"/>
        </w:rPr>
        <w:t>For example, if your base annual compensation was $100,000, you could receive $299,000 following a Change of Control without payment of any excise tax. If you received $301,000 in connection with a Change of Control, however, the entire $301,000 would be considered a parachute payment and $201,000 of this amount would be considered an excess parachute payment subject to excise tax.</w:t>
      </w:r>
    </w:p>
    <w:p>
      <w:pPr>
        <w:spacing w:after="0" w:line="165"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In order to avoid this excise tax and the related adverse tax consequences for inTEST, by signing this Agreement, you agree that the Termination Benefits payable to you under this Agreement will in no event exceed the maximum amount that can be paid to you without causing any portion of the amounts paid or payable to you by inTEST following a Change of Control, whether under this Agreement or otherwise, to be considered an “excess parachute payment” within the meaning of Section 280G(b) of the Code.</w:t>
      </w:r>
    </w:p>
    <w:p>
      <w:pPr>
        <w:spacing w:after="0" w:line="187"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If inTEST believes that these rules will result in a reduction of the payments to which you are entitled under this Agreement, it will so notify you within 60 days following delivery of the “Notice of Termination” described in Section 8. If you wish to have such determination reviewed, you may, within 30 days of the date you are notified of a reduction of payments, ask that inTEST retain, at its expense, legal counsel, certified public accountants, and/or a firm of recognized executive compensation consultants (an “Outside Expert”) to provide an opinion concerning whether, and to what extent, your Termination Benefits must be reduced so that no amount payable to you by inTEST (whether under this Agreement or otherwise) will be considered an excess parachute payment.</w:t>
      </w:r>
    </w:p>
    <w:p>
      <w:pPr>
        <w:spacing w:after="0" w:line="192"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The Outside Expert will be as mutually agreed by you and inTEST, provided that if we are not able to reach a mutual agreement, inTEST will select an Outside Expert, you will select an Outside Expert, and the two Outside Experts will select a third Outside Expert to provide the opinion required under this Section. The determination of the Outside Expert will be final and binding, subject to any contrary determination made by the Internal Revenue Service.</w:t>
      </w:r>
    </w:p>
    <w:p>
      <w:pPr>
        <w:spacing w:after="0" w:line="187"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If inTEST believes that your Termination Benefits will exceed the limitation contained in this Section, it will only make payments to you, at the times stated above, in an amount that it believes may be paid without exceeding such limitation. The balance, if any, will then be paid after the opinion of the Outside Expert has been received.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right="60" w:firstLine="1296"/>
        <w:spacing w:after="0" w:line="263" w:lineRule="auto"/>
        <w:rPr>
          <w:sz w:val="20"/>
          <w:szCs w:val="20"/>
          <w:color w:val="auto"/>
        </w:rPr>
      </w:pPr>
      <w:r>
        <w:rPr>
          <w:rFonts w:ascii="Arial" w:cs="Arial" w:eastAsia="Arial" w:hAnsi="Arial"/>
          <w:sz w:val="18"/>
          <w:szCs w:val="18"/>
          <w:color w:val="auto"/>
        </w:rPr>
        <w:t>If the amount paid to you by inTEST following a Change of Control is ultimately determined, pursuant to the opinion of the Outside Expert or by the Internal Revenue Service, to have exceeded the limitation contained in this Section, the excess must be repaid to the Company on the 90th day following demand.</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In the event that the provisions of Sections 280G and 4999 of the Code are repealed without successor provisions, this Section will be of no further force or effect.</w:t>
      </w:r>
    </w:p>
    <w:p>
      <w:pPr>
        <w:spacing w:after="0" w:line="166" w:lineRule="exact"/>
        <w:rPr>
          <w:sz w:val="20"/>
          <w:szCs w:val="20"/>
          <w:color w:val="auto"/>
        </w:rPr>
      </w:pPr>
    </w:p>
    <w:p>
      <w:pPr>
        <w:ind w:left="1020" w:hanging="364"/>
        <w:spacing w:after="0"/>
        <w:tabs>
          <w:tab w:leader="none" w:pos="10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NOTICE AND PROCEDURE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Any termination by inTEST or you of your employment during the two years immediately following a Change of Control will be communicated by written Notice of Termination to you if such Notice of Termination is delivered by inTEST and to inTEST if such Notice of Termination is delivered by you, all in accordance with the following procedures:</w:t>
      </w:r>
    </w:p>
    <w:p>
      <w:pPr>
        <w:spacing w:after="0" w:line="184" w:lineRule="exact"/>
        <w:rPr>
          <w:sz w:val="20"/>
          <w:szCs w:val="20"/>
          <w:color w:val="auto"/>
        </w:rPr>
      </w:pPr>
    </w:p>
    <w:p>
      <w:pPr>
        <w:ind w:right="80" w:firstLine="1304"/>
        <w:spacing w:after="0" w:line="277" w:lineRule="auto"/>
        <w:tabs>
          <w:tab w:leader="none" w:pos="17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Notice of Termination will indicate the specific termination provision in this Agreement relied upon, if applicable, and will set forth in reasonable detail the facts and circumstances alleged to provide a basis for such termination.</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Notice of Termination by inTEST will be in writing signed by the Chairman of the Board of inTEST.</w:t>
      </w:r>
    </w:p>
    <w:p>
      <w:pPr>
        <w:spacing w:after="0" w:line="225" w:lineRule="exact"/>
        <w:rPr>
          <w:rFonts w:ascii="Arial" w:cs="Arial" w:eastAsia="Arial" w:hAnsi="Arial"/>
          <w:sz w:val="18"/>
          <w:szCs w:val="18"/>
          <w:color w:val="auto"/>
        </w:rPr>
      </w:pPr>
    </w:p>
    <w:p>
      <w:pPr>
        <w:ind w:firstLine="1304"/>
        <w:spacing w:after="0" w:line="263" w:lineRule="auto"/>
        <w:tabs>
          <w:tab w:leader="none" w:pos="17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inTEST furnishes you with a Notice of Termination or if you furnish inTEST with a Notice of Termination, and no good faith dispute exists regarding such termination, then the date of your termination will be the date such Notice of Termination is deemed given pursuant to Section 11 of this Agreement.</w:t>
      </w:r>
    </w:p>
    <w:p>
      <w:pPr>
        <w:spacing w:after="0" w:line="183" w:lineRule="exact"/>
        <w:rPr>
          <w:rFonts w:ascii="Arial" w:cs="Arial" w:eastAsia="Arial" w:hAnsi="Arial"/>
          <w:sz w:val="18"/>
          <w:szCs w:val="18"/>
          <w:color w:val="auto"/>
        </w:rPr>
      </w:pPr>
    </w:p>
    <w:p>
      <w:pPr>
        <w:ind w:right="40" w:firstLine="1304"/>
        <w:spacing w:after="0" w:line="257" w:lineRule="auto"/>
        <w:tabs>
          <w:tab w:leader="none" w:pos="17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inTEST in good faith furnishes you with a Notice of Termination for Cause and you in good faith notify inTEST that a dispute exists concerning such termination within the 15-day period following your receipt of such notice, you may elect to continue your employment during such dispute. If it is thereafter determined that (i) Cause did exist, the date of your termination will be the earlier of (A) the date on which the dispute is finally determined or (B) the date of your death or permanent disability; or (ii) Cause did not exist, your employment will continue as if inTEST had not delivered its Notice of Termination and there will be no termination arising out of such notice.</w:t>
      </w:r>
    </w:p>
    <w:p>
      <w:pPr>
        <w:spacing w:after="0" w:line="187" w:lineRule="exact"/>
        <w:rPr>
          <w:rFonts w:ascii="Arial" w:cs="Arial" w:eastAsia="Arial" w:hAnsi="Arial"/>
          <w:sz w:val="18"/>
          <w:szCs w:val="18"/>
          <w:color w:val="auto"/>
        </w:rPr>
      </w:pPr>
    </w:p>
    <w:p>
      <w:pPr>
        <w:ind w:right="120" w:firstLine="1304"/>
        <w:spacing w:after="0" w:line="272" w:lineRule="auto"/>
        <w:tabs>
          <w:tab w:leader="none" w:pos="1721"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you in good faith furnish a Notice of Termination for Good Reason and inTEST notifies you that a dispute exists concerning the termination within the 15-day period following inTEST's receipt of such notice, you may elect to continue your employment during such dispute. If it is thereafter determined that (i) Good Reason did exist, your date of termination will be the earlier of (A) the date on which the dispute is finally determined or (B) the date of your death or permanent disability; or (ii) Good Reason did not exist, your employment will continue after such determination as if you had not delivered the Notice of Termination asserting Good Reason. If Good Reason is determined to exist, your salary, Variable Component and Benefits prior to such determination will be no less than your salary, Variable Component and benefits immediately prior to the Change of Control which gives rise to your right to receive Termination Benefits as provided in this Agreement.</w:t>
      </w:r>
    </w:p>
    <w:p>
      <w:pPr>
        <w:spacing w:after="0" w:line="177" w:lineRule="exact"/>
        <w:rPr>
          <w:rFonts w:ascii="Arial" w:cs="Arial" w:eastAsia="Arial" w:hAnsi="Arial"/>
          <w:sz w:val="17"/>
          <w:szCs w:val="17"/>
          <w:color w:val="auto"/>
        </w:rPr>
      </w:pPr>
    </w:p>
    <w:p>
      <w:pPr>
        <w:ind w:left="5580" w:hanging="106"/>
        <w:spacing w:after="0"/>
        <w:tabs>
          <w:tab w:leader="none" w:pos="5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100" w:firstLine="1304"/>
        <w:spacing w:after="0" w:line="259" w:lineRule="auto"/>
        <w:tabs>
          <w:tab w:leader="none" w:pos="1701"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you do not elect to continue employment pending resolution of a dispute regarding a Notice of Termination, and it is finally determined that the reason for termination set forth in such Notice of Termination did not exist, if such notice was delivered by you, you will be deemed to have voluntarily terminated your employment other than for Good Reason and if delivered by inTEST, inTEST will be deemed to have terminated you without Cause.</w:t>
      </w:r>
    </w:p>
    <w:p>
      <w:pPr>
        <w:spacing w:after="0" w:line="182" w:lineRule="exact"/>
        <w:rPr>
          <w:rFonts w:ascii="Arial" w:cs="Arial" w:eastAsia="Arial" w:hAnsi="Arial"/>
          <w:sz w:val="18"/>
          <w:szCs w:val="18"/>
          <w:color w:val="auto"/>
        </w:rPr>
      </w:pPr>
    </w:p>
    <w:p>
      <w:pPr>
        <w:ind w:left="1020" w:hanging="364"/>
        <w:spacing w:after="0"/>
        <w:tabs>
          <w:tab w:leader="none" w:pos="10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inTEST will require any successor (whether direct or indirect, by purchase, merger, consolidation or otherwise) to all or substantially all of the business and/or assets of inTEST or any of its subsidiaries to expressly assume and agree to perform this Agreement in the same manner and to the same extent that inTEST would be required to perform it if no such succession had taken place. Failure of inTEST to obtain such assumption and agreement prior to the effectiveness of any such succession will be a breach of this Agreement and will entitle you to compensation in the same amount and on the same terms to which you would be entitled hereunder if you terminate your employment for Good Reason following a Change of Control, except that for purposes of implementing the foregoing, the date on which any such succession becomes effective will be deemed the date of your termination. As used in this agreement “inTEST” shall include any successor to its business and/or assets which assumes and agrees to perform this Agreement by operation of law or otherwise.</w:t>
      </w:r>
    </w:p>
    <w:p>
      <w:pPr>
        <w:spacing w:after="0" w:line="188" w:lineRule="exact"/>
        <w:rPr>
          <w:sz w:val="20"/>
          <w:szCs w:val="20"/>
          <w:color w:val="auto"/>
        </w:rPr>
      </w:pPr>
    </w:p>
    <w:p>
      <w:pPr>
        <w:ind w:left="1160" w:hanging="504"/>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This Agreement will inure to the benefit of and be enforceable by you and your personal or legal representatives, executors, administrators, successors, heirs, distributees, devisees and legatees. If you should die while any amount would still be payable to you hereunder had you continued to live, all such amounts, unless otherwise provided herein, will be paid in accordance with the terms of this Agreement to your devisee, legatee or other designee or, if there is no such designee, to your estate.</w:t>
      </w:r>
    </w:p>
    <w:p>
      <w:pPr>
        <w:spacing w:after="0" w:line="183" w:lineRule="exact"/>
        <w:rPr>
          <w:sz w:val="20"/>
          <w:szCs w:val="20"/>
          <w:color w:val="auto"/>
        </w:rPr>
      </w:pPr>
    </w:p>
    <w:p>
      <w:pPr>
        <w:ind w:left="1140" w:hanging="484"/>
        <w:spacing w:after="0"/>
        <w:tabs>
          <w:tab w:leader="none" w:pos="11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For purposes of this Agreement, notices and all other communications provided for in this Agreement will be in writing and will be deemed to have been duly given when personally delivered or mailed by United States certified or registered mail, return receipt requested, postage prepaid, addressed to you at the last address you have filed in writing with inTEST or, in the case of inTEST, at its main office, attention of the Chairman of the Board of Directors, or to such other address as either party may have furnished to the other in writing in accordance herewith, except that notice of change of address will be effective only upon receipt.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1160" w:hanging="504"/>
        <w:spacing w:after="0"/>
        <w:tabs>
          <w:tab w:leader="none" w:pos="11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No provision of this Agreement may be modified, waived or discharged unless such waiver, modification or discharge is agreed to in writing and signed by you and inTEST.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 The validity, interpretation, construction and performance of this Agreement will be governed by the laws of the State of Delaware without regard to its conflicts of law principles. All references to sections of the Exchange Act or the Code will be deemed also to refer to any successor provisions to such sections. Any payments provided for hereunder will be paid net of any applicable withholding required under federal, state or local law. The obligations of inTEST that arise prior to the expiration of this Agreement will survive the expiration of the term of this Agreement.</w:t>
      </w:r>
    </w:p>
    <w:p>
      <w:pPr>
        <w:spacing w:after="0" w:line="177" w:lineRule="exact"/>
        <w:rPr>
          <w:sz w:val="20"/>
          <w:szCs w:val="20"/>
          <w:color w:val="auto"/>
        </w:rPr>
      </w:pPr>
    </w:p>
    <w:p>
      <w:pPr>
        <w:ind w:left="1160" w:hanging="504"/>
        <w:spacing w:after="0"/>
        <w:tabs>
          <w:tab w:leader="none" w:pos="11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The invalidity or unenforceability of any provision of this Agreement will not affect the validity or enforceability of any other provision of this Agreement, which will remain in full force and effect.</w:t>
      </w:r>
    </w:p>
    <w:p>
      <w:pPr>
        <w:spacing w:after="0" w:line="166" w:lineRule="exact"/>
        <w:rPr>
          <w:sz w:val="20"/>
          <w:szCs w:val="20"/>
          <w:color w:val="auto"/>
        </w:rPr>
      </w:pPr>
    </w:p>
    <w:p>
      <w:pPr>
        <w:ind w:left="1160" w:hanging="504"/>
        <w:spacing w:after="0"/>
        <w:tabs>
          <w:tab w:leader="none" w:pos="11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This Agreement may be executed in several counterparts, each of which will be deemed to be an original but all of which together will constitute one and the same instrument.</w:t>
      </w:r>
    </w:p>
    <w:p>
      <w:pPr>
        <w:spacing w:after="0" w:line="166" w:lineRule="exact"/>
        <w:rPr>
          <w:sz w:val="20"/>
          <w:szCs w:val="20"/>
          <w:color w:val="auto"/>
        </w:rPr>
      </w:pPr>
    </w:p>
    <w:p>
      <w:pPr>
        <w:ind w:left="1160" w:hanging="504"/>
        <w:spacing w:after="0"/>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AND INTEREST</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If a good faith dispute arises with respect to the enforcement of your rights under this Agreement or if any arbitration or legal proceeding will be brought in good faith to enforce or interpret any provision contained herein, or to recover damages for breach hereof, and you are the prevailing party, you will recover from inTEST any reasonable attorneys' fees and necessary costs and disbursements incurred as a result of such dispute or legal proceeding, and prejudgment interest on any money judgment obtained by you calculated at the rate of interest announced by J.P. Morgan Chase Bank, New York, or its successor, from time to time as its prime rate from the date that payments to you should have been made under this Agreement. It is expressly provided that inTEST will in no event recover from you any attorneys' fees, costs, disbursements or interest as a result of any dispute or legal proceeding involving inTEST and you.</w:t>
      </w:r>
    </w:p>
    <w:p>
      <w:pPr>
        <w:spacing w:after="0" w:line="191" w:lineRule="exact"/>
        <w:rPr>
          <w:sz w:val="20"/>
          <w:szCs w:val="20"/>
          <w:color w:val="auto"/>
        </w:rPr>
      </w:pPr>
    </w:p>
    <w:p>
      <w:pPr>
        <w:ind w:left="1160" w:hanging="504"/>
        <w:spacing w:after="0"/>
        <w:tabs>
          <w:tab w:leader="none" w:pos="11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OBLIGATIONS ABSOLUTE</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inTEST's obligation to pay you the Termination Benefits in accordance with the provisions herein will be absolute and unconditional and will not be affected by any circumstances; provided, however, that inTEST may apply amounts payable under this Agreement to any debts owed to inTEST by you on the date of your termination. All amounts payable by inTEST in accordance with this Agreement will be paid without notice or demand. If inTEST has paid you more than the amount to which you are entitled under this Agreement, inTEST will have the right to recover all or any part of such overpayment from you or from whomsoever has received such amount.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left="1160" w:hanging="504"/>
        <w:spacing w:after="0"/>
        <w:tabs>
          <w:tab w:leader="none" w:pos="11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This Agreement sets forth the entire agreement between you and inTEST concerning the subject matter discussed in this Agreement and supersedes all prior agreements, promises, covenants, arrangements, communications, representations, or warranties, whether written or oral, by any officer, employee or representative of inTEST. Any prior agreements or understandings with respect to the subject matter set forth in this Agreement are hereby terminated and canceled.</w:t>
      </w:r>
    </w:p>
    <w:p>
      <w:pPr>
        <w:spacing w:after="0" w:line="183" w:lineRule="exact"/>
        <w:rPr>
          <w:sz w:val="20"/>
          <w:szCs w:val="20"/>
          <w:color w:val="auto"/>
        </w:rPr>
      </w:pPr>
    </w:p>
    <w:p>
      <w:pPr>
        <w:ind w:left="1160" w:hanging="504"/>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00" w:firstLine="1296"/>
        <w:spacing w:after="0" w:line="342" w:lineRule="auto"/>
        <w:rPr>
          <w:sz w:val="20"/>
          <w:szCs w:val="20"/>
          <w:color w:val="auto"/>
        </w:rPr>
      </w:pPr>
      <w:r>
        <w:rPr>
          <w:rFonts w:ascii="Arial" w:cs="Arial" w:eastAsia="Arial" w:hAnsi="Arial"/>
          <w:sz w:val="16"/>
          <w:szCs w:val="16"/>
          <w:color w:val="auto"/>
        </w:rPr>
        <w:t>Any action or claim at law or equity arising under or related to this Agreement will be brought only in the Superior Court of New Jersey or in the United States District Court for the District of New Jersey, and the parties hereto hereby consent to personal jurisdiction and venue in said courts.</w:t>
      </w:r>
    </w:p>
    <w:p>
      <w:pPr>
        <w:spacing w:after="0" w:line="120" w:lineRule="exact"/>
        <w:rPr>
          <w:sz w:val="20"/>
          <w:szCs w:val="20"/>
          <w:color w:val="auto"/>
        </w:rPr>
      </w:pPr>
    </w:p>
    <w:p>
      <w:pPr>
        <w:ind w:left="1160" w:hanging="504"/>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CODE SECTION 409A.</w:t>
      </w:r>
    </w:p>
    <w:p>
      <w:pPr>
        <w:spacing w:after="0" w:line="22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For purposes of this Agreement, your termination of employment shall mean your “separation from service” as defined under Code Section 409A. Each payment under this Agreement that is determined to be subject to Section 409A shall be treated as a separate payment. In no event may you, directly or indirectly, designate the calendar year of any payment to be made under this Agreement. Notwithstanding any provision of this Agreement to the contrary, if you are a “specified employee” (as defined in Section 409A of the Code) as of your “separation from service” (as defined in Section</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409A of the Code), then the payment of any amounts payable hereunder that are subject to Section 409A of the Code shall be postponed in compliance with Section 409A (without any reduction in such payments ultimately paid or provided to you) until the first payroll date that occurs after the date that is six (6) months following your “separation from service.” Any such postponed payments shall be paid in a lump sum to you on the first payroll date that occurs after the date that is six (6) months following your “separation from service.” If you die during the postponement period prior to the payment of the postponed amount, the amounts withheld on account of Section 409A shall be paid to your estate within sixty (60) days after the date of your death.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If you would like to participate in this special benefits program, please sign and return the extra copy of this letter which is enclosed.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/s/ Joseph W. Dews IV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Joseph W. Dews IV</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hereby accept the offer to participate in this special benefits program and I agree to be bound by all of the provisions noted above.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Pelrin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4/29/20</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584" w:right="7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10.7</w:t>
      </w:r>
    </w:p>
    <w:p>
      <w:pPr>
        <w:spacing w:after="0" w:line="22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inTEST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-121920</wp:posOffset>
            </wp:positionV>
            <wp:extent cx="26035" cy="685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6035" cy="68580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804 East Gate Drive,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339975"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339975" cy="34290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18"/>
          <w:szCs w:val="18"/>
          <w:color w:val="auto"/>
        </w:rPr>
        <w:t>Mt. Laurel, NJ 08054</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Phone (856) 505-8800</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https://www.intest.com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Hugh T. Regan,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inTEST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 East Gate Drive,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 Laurel, NJ 08054</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AMENDED AND RESTATED CHANGE OF CONTROL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Hugh:</w:t>
      </w:r>
    </w:p>
    <w:p>
      <w:pPr>
        <w:spacing w:after="0" w:line="225" w:lineRule="exact"/>
        <w:rPr>
          <w:sz w:val="20"/>
          <w:szCs w:val="20"/>
          <w:color w:val="auto"/>
        </w:rPr>
      </w:pPr>
    </w:p>
    <w:p>
      <w:pPr>
        <w:ind w:right="100" w:firstLine="1296"/>
        <w:spacing w:after="0" w:line="301" w:lineRule="auto"/>
        <w:rPr>
          <w:sz w:val="20"/>
          <w:szCs w:val="20"/>
          <w:color w:val="auto"/>
        </w:rPr>
      </w:pPr>
      <w:r>
        <w:rPr>
          <w:rFonts w:ascii="Arial" w:cs="Arial" w:eastAsia="Arial" w:hAnsi="Arial"/>
          <w:sz w:val="16"/>
          <w:szCs w:val="16"/>
          <w:color w:val="auto"/>
        </w:rPr>
        <w:t>The Board of Directors (the “Board”) believes that it is in the best interests of inTEST Corporation, a Delaware corporation (“inTEST”), and its stockholders to amend and restate the commitments set forth in our letter to you dated August 27, 2007, regarding your future employment with inTEST. As a result, the Board hereby offers to you the benefits described below. If you desire to accept the benefits described below, you must sign the copy of this Change of Control Agreement (the “Agreement”) which is enclosed and return it to me on or before April 29, 2020.</w:t>
      </w:r>
    </w:p>
    <w:p>
      <w:pPr>
        <w:spacing w:after="0" w:line="153" w:lineRule="exact"/>
        <w:rPr>
          <w:sz w:val="20"/>
          <w:szCs w:val="20"/>
          <w:color w:val="auto"/>
        </w:rPr>
      </w:pPr>
    </w:p>
    <w:p>
      <w:pPr>
        <w:ind w:left="1020" w:hanging="364"/>
        <w:spacing w:after="0"/>
        <w:tabs>
          <w:tab w:leader="none" w:pos="10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This Agreement is effective immediately upon your acceptance as described above and will continue in effect as long as you are actively employed by inTEST, unless you and inTEST agree in writing to its termination or amendment and restatement.</w:t>
      </w:r>
    </w:p>
    <w:p>
      <w:pPr>
        <w:spacing w:after="0" w:line="166" w:lineRule="exact"/>
        <w:rPr>
          <w:sz w:val="20"/>
          <w:szCs w:val="20"/>
          <w:color w:val="auto"/>
        </w:rPr>
      </w:pPr>
    </w:p>
    <w:p>
      <w:pPr>
        <w:ind w:left="1020" w:hanging="364"/>
        <w:spacing w:after="0"/>
        <w:tabs>
          <w:tab w:leader="none" w:pos="10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COMPENSATION</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311" w:lineRule="auto"/>
        <w:rPr>
          <w:sz w:val="20"/>
          <w:szCs w:val="20"/>
          <w:color w:val="auto"/>
        </w:rPr>
      </w:pPr>
      <w:r>
        <w:rPr>
          <w:rFonts w:ascii="Arial" w:cs="Arial" w:eastAsia="Arial" w:hAnsi="Arial"/>
          <w:sz w:val="16"/>
          <w:szCs w:val="16"/>
          <w:color w:val="auto"/>
        </w:rPr>
        <w:t>If your employment with inTEST is terminated without “Cause” (as defined in Section 6) at any time within two years following a “Change of Control” (as defined in Section 4), you will receive the “Termination Benefits” (as defined in Section 3). You will also receive the Termination Benefits if you terminate your employment for “Good Reason” (as defined in Section 5) at any time within two years following a Change of Control.</w:t>
      </w:r>
    </w:p>
    <w:p>
      <w:pPr>
        <w:spacing w:after="0" w:line="149"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You are not entitled to receive the Termination Benefits if your employment is terminated by you or inTEST for any or no reason before a Change of Control occurs or more than two years after a Change of Control has occurred.</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In order to receive the Termination Benefits, you must execute any release of claims that you may have pursuant to this Agreement (but not any other claims) that may be requested by inTEST.</w:t>
      </w:r>
    </w:p>
    <w:p>
      <w:pPr>
        <w:spacing w:after="0" w:line="170"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The Termination Benefits will be paid to you under the terms and conditions hereof, without regard to whether you look for or obtain alternative employment following your termination of employment with inTEST.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1020" w:hanging="364"/>
        <w:spacing w:after="0"/>
        <w:tabs>
          <w:tab w:leader="none" w:pos="10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BENEFITS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“Termination Benefits” will mean and include the following:</w:t>
      </w:r>
    </w:p>
    <w:p>
      <w:pPr>
        <w:spacing w:after="0" w:line="225" w:lineRule="exact"/>
        <w:rPr>
          <w:sz w:val="20"/>
          <w:szCs w:val="20"/>
          <w:color w:val="auto"/>
        </w:rPr>
      </w:pPr>
    </w:p>
    <w:p>
      <w:pPr>
        <w:ind w:right="720" w:firstLine="1304"/>
        <w:spacing w:after="0" w:line="277" w:lineRule="auto"/>
        <w:tabs>
          <w:tab w:leader="none" w:pos="17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 period of one year from your termination (the “Benefit Period”), payment of a prorated portion of your then-current annualized salary (“Base Salary”) on the same basis that you were paid immediately prior to your termination;</w:t>
      </w:r>
    </w:p>
    <w:p>
      <w:pPr>
        <w:spacing w:after="0" w:line="170" w:lineRule="exact"/>
        <w:rPr>
          <w:rFonts w:ascii="Arial" w:cs="Arial" w:eastAsia="Arial" w:hAnsi="Arial"/>
          <w:sz w:val="18"/>
          <w:szCs w:val="18"/>
          <w:color w:val="auto"/>
        </w:rPr>
      </w:pPr>
    </w:p>
    <w:p>
      <w:pPr>
        <w:ind w:right="20" w:firstLine="1304"/>
        <w:spacing w:after="0" w:line="263" w:lineRule="auto"/>
        <w:tabs>
          <w:tab w:leader="none" w:pos="17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any bonus, variable, or incentive compensation (the “Variable Component”) you would otherwise be eligible to receive for the year in which your termination occurs and for that portion of the following year which is included in the Benefit Period, such Variable Component to be calculated and paid as provided below; and</w:t>
      </w:r>
    </w:p>
    <w:p>
      <w:pPr>
        <w:spacing w:after="0" w:line="183" w:lineRule="exact"/>
        <w:rPr>
          <w:rFonts w:ascii="Arial" w:cs="Arial" w:eastAsia="Arial" w:hAnsi="Arial"/>
          <w:sz w:val="18"/>
          <w:szCs w:val="18"/>
          <w:color w:val="auto"/>
        </w:rPr>
      </w:pPr>
    </w:p>
    <w:p>
      <w:pPr>
        <w:ind w:right="80" w:firstLine="1304"/>
        <w:spacing w:after="0" w:line="311" w:lineRule="auto"/>
        <w:tabs>
          <w:tab w:leader="none" w:pos="17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Benefit Period, continuation of coverage under the group benefit plans in which you participate immediately prior to your termination, including, without limitation, life, disability, accident and group health insurance benefits coverage for you and your eligible dependents (“Benefits”), such Benefits to be provided on substantially the same terms and conditions as they were provided immediately prior to your termination.</w:t>
      </w:r>
    </w:p>
    <w:p>
      <w:pPr>
        <w:spacing w:after="0" w:line="14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The Variable Component of your Termination Benefits will equal the sum of (i) the Variable Component to which you would have been entitled for the year during which your termination occurs (calculated after annualizing inTEST’s consolidated financial results through the date of termination if such Variable Component is based upon a percentage of profits) (the “Annual Amount”), and (ii) an amount equal to the product of (x) the Annual Amount times (y) a fraction the numerator of which is the number of days in the year following termination which is included in the Benefit Period and the denominator of which is 365 (the “Prorated Amount”). Both the Annual Amount and the Prorated Amount will be paid to you not later than March 15th of the year following your termination.</w:t>
      </w:r>
    </w:p>
    <w:p>
      <w:pPr>
        <w:spacing w:after="0" w:line="192" w:lineRule="exact"/>
        <w:rPr>
          <w:sz w:val="20"/>
          <w:szCs w:val="20"/>
          <w:color w:val="auto"/>
        </w:rPr>
      </w:pPr>
    </w:p>
    <w:p>
      <w:pPr>
        <w:jc w:val="both"/>
        <w:ind w:right="120" w:firstLine="1296"/>
        <w:spacing w:after="0" w:line="311" w:lineRule="auto"/>
        <w:rPr>
          <w:sz w:val="20"/>
          <w:szCs w:val="20"/>
          <w:color w:val="auto"/>
        </w:rPr>
      </w:pPr>
      <w:r>
        <w:rPr>
          <w:rFonts w:ascii="Arial" w:cs="Arial" w:eastAsia="Arial" w:hAnsi="Arial"/>
          <w:sz w:val="16"/>
          <w:szCs w:val="16"/>
          <w:color w:val="auto"/>
        </w:rPr>
        <w:t>Notwithstanding the foregoing, if you terminate your employment for Good Reason, your Termination Benefits will be based upon the greater of (i) your Base Salary, Variable Component and Benefits immediately prior to your termination or (ii) your Base Salary, Variable Component and Benefits immediately prior to the Change of Control which gives rise to your right to receive Termination Benefits under this Agreement.</w:t>
      </w:r>
    </w:p>
    <w:p>
      <w:pPr>
        <w:spacing w:after="0" w:line="149"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inTEST does not intend to provide duplicative Benefits. Consequently, Benefits otherwise receivable pursuant to this Section will be reduced or eliminated if and to the extent that you receive comparable Benefits from any other source (for example, another employer); provided, however, that you will have no obligation to seek, solicit or accept employment from another employer in order to receive such benefits.</w:t>
      </w:r>
    </w:p>
    <w:p>
      <w:pPr>
        <w:spacing w:after="0" w:line="161" w:lineRule="exact"/>
        <w:rPr>
          <w:sz w:val="20"/>
          <w:szCs w:val="20"/>
          <w:color w:val="auto"/>
        </w:rPr>
      </w:pPr>
    </w:p>
    <w:p>
      <w:pPr>
        <w:ind w:left="1020" w:hanging="364"/>
        <w:spacing w:after="0"/>
        <w:tabs>
          <w:tab w:leader="none" w:pos="10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For purposes of this Agreement, a “Change of Control” will be deemed to have occurred upon the earliest to occur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ind w:right="200" w:firstLine="1304"/>
        <w:spacing w:after="0" w:line="277" w:lineRule="auto"/>
        <w:tabs>
          <w:tab w:leader="none" w:pos="1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The date the stockholders of inTEST (or the Board of Directors, if stockholder action is not required) approve a plan or other arrangement pursuant to which inTEST will be dissolved or liquidated;</w:t>
      </w:r>
    </w:p>
    <w:p>
      <w:pPr>
        <w:spacing w:after="0" w:line="170" w:lineRule="exact"/>
        <w:rPr>
          <w:rFonts w:ascii="Arial" w:cs="Arial" w:eastAsia="Arial" w:hAnsi="Arial"/>
          <w:sz w:val="18"/>
          <w:szCs w:val="18"/>
          <w:color w:val="auto"/>
        </w:rPr>
      </w:pPr>
    </w:p>
    <w:p>
      <w:pPr>
        <w:ind w:left="5580" w:hanging="106"/>
        <w:spacing w:after="0"/>
        <w:tabs>
          <w:tab w:leader="none" w:pos="5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5" w:name="page46"/>
    <w:bookmarkEnd w:id="45"/>
    <w:p>
      <w:pPr>
        <w:ind w:firstLine="1304"/>
        <w:spacing w:after="0" w:line="254" w:lineRule="auto"/>
        <w:tabs>
          <w:tab w:leader="none" w:pos="17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Sale of Assets</w:t>
      </w:r>
      <w:r>
        <w:rPr>
          <w:rFonts w:ascii="Arial" w:cs="Arial" w:eastAsia="Arial" w:hAnsi="Arial"/>
          <w:sz w:val="18"/>
          <w:szCs w:val="18"/>
          <w:color w:val="auto"/>
        </w:rPr>
        <w:t>. Upon approval of the stockholders of inTEST (or the Board of Directors, if stockholder action is not required), the date inTEST consummates a definitive agreement to sell or otherwise dispose of all or substantially all of the assets of inTEST to any “Unrelated Person” or “Unrelated Persons” (as defined below) acting in concert with one another. “Person” means any entity, person or group (within the meaning of Section 13(d)(3) or Section 14(d)(2) of the Exchange Act of 1934). “Unrelated Person” means any Person other than (1) inTEST or any of its Affiliates or any employee benefit plan (or related trust) sponsored or maintained by inTEST or any of its Affiliates or (2) any Person who, as of the date of this Agreement, is the beneficial owner of at least twenty percent (20%) of the outstanding Common Stock of inTEST. “Affiliates” means any entity in which inTEST owns, directly or indirectly, 50 percent or more of the voting equity;</w:t>
      </w:r>
    </w:p>
    <w:p>
      <w:pPr>
        <w:spacing w:after="0" w:line="194" w:lineRule="exact"/>
        <w:rPr>
          <w:rFonts w:ascii="Arial" w:cs="Arial" w:eastAsia="Arial" w:hAnsi="Arial"/>
          <w:sz w:val="18"/>
          <w:szCs w:val="18"/>
          <w:color w:val="auto"/>
        </w:rPr>
      </w:pPr>
    </w:p>
    <w:p>
      <w:pPr>
        <w:ind w:right="40" w:firstLine="1304"/>
        <w:spacing w:after="0" w:line="271" w:lineRule="auto"/>
        <w:tabs>
          <w:tab w:leader="none" w:pos="17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Merger or Consolidation</w:t>
      </w:r>
      <w:r>
        <w:rPr>
          <w:rFonts w:ascii="Arial" w:cs="Arial" w:eastAsia="Arial" w:hAnsi="Arial"/>
          <w:sz w:val="17"/>
          <w:szCs w:val="17"/>
          <w:color w:val="auto"/>
        </w:rPr>
        <w:t>. Upon approval of the stockholders of inTEST (or the Board of Directors, if stockholder action is not required) and the stockholders of the other constituent corporation (or its board of directors if stockholder action is not required), the date inTEST consummates a merger or consolidation of inTEST with or into such other corporation, and such other corporation is an Unrelated Person, other than a merger or consolidation of inTEST in which holders of shares of the Common Stock of inTEST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inTEST immediately before the merger or consolidation;</w:t>
      </w:r>
    </w:p>
    <w:p>
      <w:pPr>
        <w:spacing w:after="0" w:line="178" w:lineRule="exact"/>
        <w:rPr>
          <w:rFonts w:ascii="Arial" w:cs="Arial" w:eastAsia="Arial" w:hAnsi="Arial"/>
          <w:sz w:val="17"/>
          <w:szCs w:val="17"/>
          <w:color w:val="auto"/>
        </w:rPr>
      </w:pPr>
    </w:p>
    <w:p>
      <w:pPr>
        <w:ind w:right="440" w:firstLine="1304"/>
        <w:spacing w:after="0" w:line="277" w:lineRule="auto"/>
        <w:tabs>
          <w:tab w:leader="none" w:pos="17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Change in Beneficial Owner</w:t>
      </w:r>
      <w:r>
        <w:rPr>
          <w:rFonts w:ascii="Arial" w:cs="Arial" w:eastAsia="Arial" w:hAnsi="Arial"/>
          <w:sz w:val="18"/>
          <w:szCs w:val="18"/>
          <w:color w:val="auto"/>
        </w:rPr>
        <w:t>. The date any Unrelated Person will have become the beneficial owner of, or will have obtained voting control over, more than forty percent (40%) of the outstanding shares of the Common Stock of inTEST; or</w:t>
      </w:r>
    </w:p>
    <w:p>
      <w:pPr>
        <w:spacing w:after="0" w:line="170" w:lineRule="exact"/>
        <w:rPr>
          <w:rFonts w:ascii="Arial" w:cs="Arial" w:eastAsia="Arial" w:hAnsi="Arial"/>
          <w:sz w:val="18"/>
          <w:szCs w:val="18"/>
          <w:color w:val="auto"/>
        </w:rPr>
      </w:pPr>
    </w:p>
    <w:p>
      <w:pPr>
        <w:ind w:right="40" w:firstLine="1304"/>
        <w:spacing w:after="0" w:line="293" w:lineRule="auto"/>
        <w:tabs>
          <w:tab w:leader="none" w:pos="17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Change in Majority of the Board of Directors</w:t>
      </w:r>
      <w:r>
        <w:rPr>
          <w:rFonts w:ascii="Arial" w:cs="Arial" w:eastAsia="Arial" w:hAnsi="Arial"/>
          <w:sz w:val="16"/>
          <w:szCs w:val="16"/>
          <w:color w:val="auto"/>
        </w:rPr>
        <w:t>. The date individuals who, as of the date of this Agreement, constitute the Board of Directors of inTEST (the “Incumbent Directors”) cease for any reason to constitute a majority of the members of the Board; provided that any individual who becomes a director, after the date of this Agreement, whose election or nomination for election by inTEST’s stockholders was approved by a majority of the Incumbent Directors (other than an election or nomination of an individual whose initial assumption of office is in connection with an actual or threatened “election contest” relating to the election of the directors of inTEST (as such terms are used in Rule 14a-11 under the Exchange Act), “tender offer” (as such term is used in Section 14(d) of the Exchange Act) or a proposed merger) will be deemed to be an Incumbent Director.</w:t>
      </w:r>
    </w:p>
    <w:p>
      <w:pPr>
        <w:spacing w:after="0" w:line="164"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Notwithstanding any provision herein to the contrary, the filing of a proceeding for the reorganization of inTEST under Chapter 11 of the Federal Bankruptcy Code or any successor or other statute of similar import will not be deemed to be a Change of Control for purpose of this Agreement.</w:t>
      </w:r>
    </w:p>
    <w:p>
      <w:pPr>
        <w:spacing w:after="0" w:line="120" w:lineRule="exact"/>
        <w:rPr>
          <w:sz w:val="20"/>
          <w:szCs w:val="20"/>
          <w:color w:val="auto"/>
        </w:rPr>
      </w:pPr>
    </w:p>
    <w:p>
      <w:pPr>
        <w:ind w:left="1020" w:hanging="364"/>
        <w:spacing w:after="0"/>
        <w:tabs>
          <w:tab w:leader="none" w:pos="10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 REASON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“Good Reason” will mean and include the following situations:</w:t>
      </w:r>
    </w:p>
    <w:p>
      <w:pPr>
        <w:spacing w:after="0" w:line="225" w:lineRule="exact"/>
        <w:rPr>
          <w:sz w:val="20"/>
          <w:szCs w:val="20"/>
          <w:color w:val="auto"/>
        </w:rPr>
      </w:pPr>
    </w:p>
    <w:p>
      <w:pPr>
        <w:ind w:left="1720" w:hanging="416"/>
        <w:spacing w:after="0"/>
        <w:tabs>
          <w:tab w:leader="none" w:pos="1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material adverse change in your status, responsibilities or Benefits;</w:t>
      </w:r>
    </w:p>
    <w:p>
      <w:pPr>
        <w:spacing w:after="0" w:line="225" w:lineRule="exact"/>
        <w:rPr>
          <w:rFonts w:ascii="Arial" w:cs="Arial" w:eastAsia="Arial" w:hAnsi="Arial"/>
          <w:sz w:val="18"/>
          <w:szCs w:val="18"/>
          <w:color w:val="auto"/>
        </w:rPr>
      </w:pPr>
    </w:p>
    <w:p>
      <w:pPr>
        <w:ind w:left="5580" w:hanging="106"/>
        <w:spacing w:after="0"/>
        <w:tabs>
          <w:tab w:leader="none" w:pos="55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6" w:name="page47"/>
    <w:bookmarkEnd w:id="46"/>
    <w:p>
      <w:pPr>
        <w:ind w:left="1740" w:hanging="436"/>
        <w:spacing w:after="0"/>
        <w:tabs>
          <w:tab w:leader="none" w:pos="1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failure to nominate or elect you as Chief Financial Officer;</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causing or requiring you to report to anyone other than the Chief Executive Officer;</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assignment to you of duties materially inconsistent with your position as Chief Financial Officer;</w:t>
      </w:r>
    </w:p>
    <w:p>
      <w:pPr>
        <w:spacing w:after="0" w:line="225" w:lineRule="exact"/>
        <w:rPr>
          <w:rFonts w:ascii="Arial" w:cs="Arial" w:eastAsia="Arial" w:hAnsi="Arial"/>
          <w:sz w:val="18"/>
          <w:szCs w:val="18"/>
          <w:color w:val="auto"/>
        </w:rPr>
      </w:pPr>
    </w:p>
    <w:p>
      <w:pPr>
        <w:ind w:firstLine="1304"/>
        <w:spacing w:after="0" w:line="259" w:lineRule="auto"/>
        <w:tabs>
          <w:tab w:leader="none" w:pos="172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reduction of your annual base salary or annual Variable Component (or, if applicable, a change in the formula for determining your annual Variable Component which would have the effect of reducing your annual Variable Component as it would otherwise have been calculated immediately prior to the Change of Control that gives rise to your right to receive Termination Benefits as provided in this Agreement) or other reduction in compensation or benefits, or</w:t>
      </w:r>
    </w:p>
    <w:p>
      <w:pPr>
        <w:spacing w:after="0" w:line="186" w:lineRule="exact"/>
        <w:rPr>
          <w:rFonts w:ascii="Arial" w:cs="Arial" w:eastAsia="Arial" w:hAnsi="Arial"/>
          <w:sz w:val="18"/>
          <w:szCs w:val="18"/>
          <w:color w:val="auto"/>
        </w:rPr>
      </w:pPr>
    </w:p>
    <w:p>
      <w:pPr>
        <w:ind w:left="1700" w:hanging="396"/>
        <w:spacing w:after="0"/>
        <w:tabs>
          <w:tab w:leader="none" w:pos="17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requiring you to be principally based at any office or location more than 30 miles from the current offices of the Company in Mt.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Laurel, New Jersey.</w:t>
      </w:r>
    </w:p>
    <w:p>
      <w:pPr>
        <w:spacing w:after="0" w:line="206" w:lineRule="exact"/>
        <w:rPr>
          <w:rFonts w:ascii="Arial" w:cs="Arial" w:eastAsia="Arial" w:hAnsi="Arial"/>
          <w:sz w:val="17"/>
          <w:szCs w:val="17"/>
          <w:color w:val="auto"/>
        </w:rPr>
      </w:pPr>
    </w:p>
    <w:p>
      <w:pPr>
        <w:ind w:left="1020" w:hanging="364"/>
        <w:spacing w:after="0"/>
        <w:tabs>
          <w:tab w:leader="none" w:pos="10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CAUSE DEFINED</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term “Cause” will mean and include the following situations:</w:t>
      </w:r>
    </w:p>
    <w:p>
      <w:pPr>
        <w:spacing w:after="0" w:line="225" w:lineRule="exact"/>
        <w:rPr>
          <w:sz w:val="20"/>
          <w:szCs w:val="20"/>
          <w:color w:val="auto"/>
        </w:rPr>
      </w:pPr>
    </w:p>
    <w:p>
      <w:pPr>
        <w:ind w:firstLine="1304"/>
        <w:spacing w:after="0" w:line="277" w:lineRule="auto"/>
        <w:tabs>
          <w:tab w:leader="none" w:pos="1714"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Your conviction by a court of competent jurisdiction of any criminal offense involving dishonesty or breach of trust or any felony or crime of moral turpitude;</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Your violation of inTEST policies or inTEST’s Code of Ethics;</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Your commission of an act of fraud upon inTEST; or</w:t>
      </w:r>
    </w:p>
    <w:p>
      <w:pPr>
        <w:spacing w:after="0" w:line="225" w:lineRule="exact"/>
        <w:rPr>
          <w:rFonts w:ascii="Arial" w:cs="Arial" w:eastAsia="Arial" w:hAnsi="Arial"/>
          <w:sz w:val="18"/>
          <w:szCs w:val="18"/>
          <w:color w:val="auto"/>
        </w:rPr>
      </w:pPr>
    </w:p>
    <w:p>
      <w:pPr>
        <w:ind w:right="120" w:firstLine="1304"/>
        <w:spacing w:after="0" w:line="263" w:lineRule="auto"/>
        <w:tabs>
          <w:tab w:leader="none" w:pos="1724"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Your willful refusal to perform the duties reasonably assigned to you by the Board of Directors of inTEST, which failure or breach continues for more than ten days (or such longer period, not in excess of 30 days, as may be required to cure such failure) after written notice thereof is given to you.</w:t>
      </w:r>
    </w:p>
    <w:p>
      <w:pPr>
        <w:spacing w:after="0" w:line="179" w:lineRule="exact"/>
        <w:rPr>
          <w:rFonts w:ascii="Arial" w:cs="Arial" w:eastAsia="Arial" w:hAnsi="Arial"/>
          <w:sz w:val="18"/>
          <w:szCs w:val="18"/>
          <w:color w:val="auto"/>
        </w:rPr>
      </w:pPr>
    </w:p>
    <w:p>
      <w:pPr>
        <w:ind w:left="1020" w:hanging="364"/>
        <w:spacing w:after="0"/>
        <w:tabs>
          <w:tab w:leader="none" w:pos="10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CEILING ON BENEFITS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Under the “golden parachute” rules in the Internal Revenue Code (the “Code”) you will be subject to a 20% excise tax (over and above regular income tax) on any “excess parachute payment” that you receive following a Change of Control, and inTEST will not be permitted to deduct any such excess parachute payment. Very generally, compensation paid to you that is contingent upon a Change of Control will be considered a “parachute payment” if the present value of such consideration equals or exceeds three times your average annual compensation from inTEST for the five years prior to the Change of Control. If payments are considered “parachute payments,” then all such payments to you in excess of your base annual compensation will be considered “excess parachute payments” and will be subject to the 20% excise tax imposed under Section 4999 of the Code.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520" w:firstLine="1296"/>
        <w:spacing w:after="0" w:line="286" w:lineRule="auto"/>
        <w:rPr>
          <w:sz w:val="20"/>
          <w:szCs w:val="20"/>
          <w:color w:val="auto"/>
        </w:rPr>
      </w:pPr>
      <w:r>
        <w:rPr>
          <w:rFonts w:ascii="Arial" w:cs="Arial" w:eastAsia="Arial" w:hAnsi="Arial"/>
          <w:sz w:val="17"/>
          <w:szCs w:val="17"/>
          <w:color w:val="auto"/>
        </w:rPr>
        <w:t>For example, if your base annual compensation was $100,000, you could receive $299,000 following a Change of Control without payment of any excise tax. If you received $301,000 in connection with a Change of Control, however, the entire $301,000 would be considered a parachute payment and $201,000 of this amount would be considered an excess parachute payment subject to excise tax.</w:t>
      </w:r>
    </w:p>
    <w:p>
      <w:pPr>
        <w:spacing w:after="0" w:line="165"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In order to avoid this excise tax and the related adverse tax consequences for inTEST, by signing this Agreement, you agree that the Termination Benefits payable to you under this Agreement will in no event exceed the maximum amount that can be paid to you without causing any portion of the amounts paid or payable to you by inTEST following a Change of Control, whether under this Agreement or otherwise, to be considered an “excess parachute payment” within the meaning of Section 280G(b) of the Code.</w:t>
      </w:r>
    </w:p>
    <w:p>
      <w:pPr>
        <w:spacing w:after="0" w:line="187"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If inTEST believes that these rules will result in a reduction of the payments to which you are entitled under this Agreement, it will so notify you within 60 days following delivery of the “Notice of Termination” described in Section 8. If you wish to have such determination reviewed, you may, within 30 days of the date you are notified of a reduction of payments, ask that inTEST retain, at its expense, legal counsel, certified public accountants, and/or a firm of recognized executive compensation consultants (an “Outside Expert”) to provide an opinion concerning whether, and to what extent, your Termination Benefits must be reduced so that no amount payable to you by inTEST (whether under this Agreement or otherwise) will be considered an excess parachute payment.</w:t>
      </w:r>
    </w:p>
    <w:p>
      <w:pPr>
        <w:spacing w:after="0" w:line="192"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The Outside Expert will be as mutually agreed by you and inTEST, provided that if we are not able to reach a mutual agreement, inTEST will select an Outside Expert, you will select an Outside Expert, and the two Outside Experts will select a third Outside Expert to provide the opinion required under this Section. The determination of the Outside Expert will be final and binding, subject to any contrary determination made by the Internal Revenue Service.</w:t>
      </w:r>
    </w:p>
    <w:p>
      <w:pPr>
        <w:spacing w:after="0" w:line="187"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If inTEST believes that your Termination Benefits will exceed the limitation contained in this Section, it will only make payments to you, at the times stated above, in an amount that it believes may be paid without exceeding such limitation. The balance, if any, will then be paid after the opinion of the Outside Expert has been received.</w:t>
      </w:r>
    </w:p>
    <w:p>
      <w:pPr>
        <w:spacing w:after="0" w:line="184"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If the amount paid to you by inTEST following a Change of Control is ultimately determined, pursuant to the opinion of the Outside Expert or by the Internal Revenue Service, to have exceeded the limitation contained in this Section, the excess must be repaid to the Company on the 90th day following demand.</w:t>
      </w:r>
    </w:p>
    <w:p>
      <w:pPr>
        <w:spacing w:after="0" w:line="184"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In the event that the provisions of Sections 280G and 4999 of the Code are repealed without successor provisions, this Section will be of no further force or effect.</w:t>
      </w:r>
    </w:p>
    <w:p>
      <w:pPr>
        <w:spacing w:after="0" w:line="166" w:lineRule="exact"/>
        <w:rPr>
          <w:sz w:val="20"/>
          <w:szCs w:val="20"/>
          <w:color w:val="auto"/>
        </w:rPr>
      </w:pPr>
    </w:p>
    <w:p>
      <w:pPr>
        <w:ind w:left="1020" w:hanging="364"/>
        <w:spacing w:after="0"/>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NOTICE AND PROCEDURE</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Any termination by inTEST or you of your employment during the two years immediately following a Change of Control will be communicated by written Notice of Termination to you if such Notice of Termination is delivered by inTEST and to inTEST if such Notice of Termination is delivered by you, all in accordance with the following procedures:</w:t>
      </w:r>
    </w:p>
    <w:p>
      <w:pPr>
        <w:spacing w:after="0" w:line="184" w:lineRule="exact"/>
        <w:rPr>
          <w:sz w:val="20"/>
          <w:szCs w:val="20"/>
          <w:color w:val="auto"/>
        </w:rPr>
      </w:pPr>
    </w:p>
    <w:p>
      <w:pPr>
        <w:ind w:right="60" w:firstLine="1304"/>
        <w:spacing w:after="0" w:line="277" w:lineRule="auto"/>
        <w:tabs>
          <w:tab w:leader="none" w:pos="17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Notice of Termination will indicate the specific termination provision in this Agreement relied upon, if applicable, and will set forth in reasonable detail the facts and circumstances alleged to provide a basis for such termination.</w:t>
      </w:r>
    </w:p>
    <w:p>
      <w:pPr>
        <w:spacing w:after="0" w:line="170" w:lineRule="exact"/>
        <w:rPr>
          <w:rFonts w:ascii="Arial" w:cs="Arial" w:eastAsia="Arial" w:hAnsi="Arial"/>
          <w:sz w:val="18"/>
          <w:szCs w:val="18"/>
          <w:color w:val="auto"/>
        </w:rPr>
      </w:pPr>
    </w:p>
    <w:p>
      <w:pPr>
        <w:ind w:left="5580" w:hanging="106"/>
        <w:spacing w:after="0"/>
        <w:tabs>
          <w:tab w:leader="none" w:pos="5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left="1720" w:hanging="416"/>
        <w:spacing w:after="0"/>
        <w:tabs>
          <w:tab w:leader="none" w:pos="17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Notice of Termination by inTEST will be in writing signed by the Chairman of the Board of inTEST.</w:t>
      </w:r>
    </w:p>
    <w:p>
      <w:pPr>
        <w:spacing w:after="0" w:line="225" w:lineRule="exact"/>
        <w:rPr>
          <w:rFonts w:ascii="Arial" w:cs="Arial" w:eastAsia="Arial" w:hAnsi="Arial"/>
          <w:sz w:val="18"/>
          <w:szCs w:val="18"/>
          <w:color w:val="auto"/>
        </w:rPr>
      </w:pPr>
    </w:p>
    <w:p>
      <w:pPr>
        <w:ind w:firstLine="1304"/>
        <w:spacing w:after="0" w:line="263" w:lineRule="auto"/>
        <w:tabs>
          <w:tab w:leader="none" w:pos="1721"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inTEST furnishes you with a Notice of Termination or if you furnish inTEST with a Notice of Termination, and no good faith dispute exists regarding such termination, then the date of your termination will be the date such Notice of Termination is deemed given pursuant to Section 11 of this Agreement.</w:t>
      </w:r>
    </w:p>
    <w:p>
      <w:pPr>
        <w:spacing w:after="0" w:line="183" w:lineRule="exact"/>
        <w:rPr>
          <w:rFonts w:ascii="Arial" w:cs="Arial" w:eastAsia="Arial" w:hAnsi="Arial"/>
          <w:sz w:val="18"/>
          <w:szCs w:val="18"/>
          <w:color w:val="auto"/>
        </w:rPr>
      </w:pPr>
    </w:p>
    <w:p>
      <w:pPr>
        <w:ind w:right="40" w:firstLine="1304"/>
        <w:spacing w:after="0" w:line="257" w:lineRule="auto"/>
        <w:tabs>
          <w:tab w:leader="none" w:pos="17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inTEST in good faith furnishes you with a Notice of Termination for Cause and you in good faith notify inTEST that a dispute exists concerning such termination within the 15-day period following your receipt of such notice, you may elect to continue your employment during such dispute. If it is thereafter determined that (i) Cause did exist, the date of your termination will be the earlier of (A) the date on which the dispute is finally determined or (B) the date of your death or permanent disability; or (ii) Cause did not exist, your employment will continue as if inTEST had not delivered its Notice of Termination and there will be no termination arising out of such notice.</w:t>
      </w:r>
    </w:p>
    <w:p>
      <w:pPr>
        <w:spacing w:after="0" w:line="187" w:lineRule="exact"/>
        <w:rPr>
          <w:rFonts w:ascii="Arial" w:cs="Arial" w:eastAsia="Arial" w:hAnsi="Arial"/>
          <w:sz w:val="18"/>
          <w:szCs w:val="18"/>
          <w:color w:val="auto"/>
        </w:rPr>
      </w:pPr>
    </w:p>
    <w:p>
      <w:pPr>
        <w:ind w:right="120" w:firstLine="1304"/>
        <w:spacing w:after="0" w:line="272" w:lineRule="auto"/>
        <w:tabs>
          <w:tab w:leader="none" w:pos="1721"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you in good faith furnish a Notice of Termination for Good Reason and inTEST notifies you that a dispute exists concerning the termination within the 15-day period following inTEST's receipt of such notice, you may elect to continue your employment during such dispute. If it is thereafter determined that (i) Good Reason did exist, your date of termination will be the earlier of (A) the date on which the dispute is finally determined or (B) the date of your death or permanent disability; or (ii) Good Reason did not exist, your employment will continue after such determination as if you had not delivered the Notice of Termination asserting Good Reason. If Good Reason is determined to exist, your salary, Variable Component and Benefits prior to such determination will be no less than your salary, Variable Component and benefits immediately prior to the Change of Control which gives rise to your right to receive Termination Benefits as provided in this Agreement.</w:t>
      </w:r>
    </w:p>
    <w:p>
      <w:pPr>
        <w:spacing w:after="0" w:line="177" w:lineRule="exact"/>
        <w:rPr>
          <w:rFonts w:ascii="Arial" w:cs="Arial" w:eastAsia="Arial" w:hAnsi="Arial"/>
          <w:sz w:val="17"/>
          <w:szCs w:val="17"/>
          <w:color w:val="auto"/>
        </w:rPr>
      </w:pPr>
    </w:p>
    <w:p>
      <w:pPr>
        <w:ind w:right="100" w:firstLine="1304"/>
        <w:spacing w:after="0" w:line="259" w:lineRule="auto"/>
        <w:tabs>
          <w:tab w:leader="none" w:pos="1701"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you do not elect to continue employment pending resolution of a dispute regarding a Notice of Termination, and it is finally determined that the reason for termination set forth in such Notice of Termination did not exist, if such notice was delivered by you, you will be deemed to have voluntarily terminated your employment other than for Good Reason and if delivered by inTEST, inTEST will be deemed to have terminated you without Cause.</w:t>
      </w:r>
    </w:p>
    <w:p>
      <w:pPr>
        <w:spacing w:after="0" w:line="182" w:lineRule="exact"/>
        <w:rPr>
          <w:rFonts w:ascii="Arial" w:cs="Arial" w:eastAsia="Arial" w:hAnsi="Arial"/>
          <w:sz w:val="18"/>
          <w:szCs w:val="18"/>
          <w:color w:val="auto"/>
        </w:rPr>
      </w:pPr>
    </w:p>
    <w:p>
      <w:pPr>
        <w:ind w:left="1020" w:hanging="364"/>
        <w:spacing w:after="0"/>
        <w:tabs>
          <w:tab w:leader="none" w:pos="10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inTEST will require any successor (whether direct or indirect, by purchase, merger, consolidation or otherwise) to all or substantially all of the business and/or assets of inTEST or any of its subsidiaries to expressly assume and agree to perform this Agreement in the same manner and to the same extent that inTEST would be required to perform it if no such succession had taken place. Failure of inTEST to obtain such assumption and agreement prior to the effectiveness of any such succession will be a breach of this Agreement and will entitle you to compensation in the same amount and on the same terms to which you would be entitled hereunder if you terminate your employment for Good Reason following a Change of Control, except that for purposes of implementing the foregoing, the date on which any such succession becomes effective will be deemed the date of your termination. As used in this agreement “inTEST” will mean “inTEST” as hereinbefore defined and any successor to its business and/or assets which assumes and agrees to perform this Agreement by operation of law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1160" w:hanging="504"/>
        <w:spacing w:after="0"/>
        <w:tabs>
          <w:tab w:leader="none" w:pos="11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This Agreement will inure to the benefit of and be enforceable by you and your personal or legal representatives, executors, administrators, successors, heirs, distributees, devisees and legatees. If you should die while any amount would still be payable to you hereunder had you continued to live, all such amounts, unless otherwise provided herein, will be paid in accordance with the terms of this Agreement to your devisee, legatee or other designee or, if there is no such designee, to your estate.</w:t>
      </w:r>
    </w:p>
    <w:p>
      <w:pPr>
        <w:spacing w:after="0" w:line="183" w:lineRule="exact"/>
        <w:rPr>
          <w:sz w:val="20"/>
          <w:szCs w:val="20"/>
          <w:color w:val="auto"/>
        </w:rPr>
      </w:pPr>
    </w:p>
    <w:p>
      <w:pPr>
        <w:ind w:left="1140" w:hanging="484"/>
        <w:spacing w:after="0"/>
        <w:tabs>
          <w:tab w:leader="none" w:pos="11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For purposes of this Agreement, notices and all other communications provided for in this Agreement will be in writing and will be deemed to have been duly given when personally delivered or mailed by United States certified or registered mail, return receipt requested, postage prepaid, addressed to you at the last address you have filed in writing with inTEST or, in the case of inTEST, at its main office, attention of the Chairman of the Board of Directors, or to such other address as either party may have furnished to the other in writing in accordance herewith, except that notice of change of address will be effective only upon receipt.</w:t>
      </w:r>
    </w:p>
    <w:p>
      <w:pPr>
        <w:spacing w:after="0" w:line="184" w:lineRule="exact"/>
        <w:rPr>
          <w:sz w:val="20"/>
          <w:szCs w:val="20"/>
          <w:color w:val="auto"/>
        </w:rPr>
      </w:pPr>
    </w:p>
    <w:p>
      <w:pPr>
        <w:ind w:left="1160" w:hanging="504"/>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No provision of this Agreement may be modified, waived or discharged unless such waiver, modification or discharge is agreed to in writing and signed by you and inTEST.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 The validity, interpretation, construction and performance of this Agreement will be governed by the laws of the State of Delaware without regard to its conflicts of law principles. All references to sections of the Exchange Act or the Code will be deemed also to refer to any successor provisions to such sections. Any payments provided for hereunder will be paid net of any applicable withholding required under federal, state or local law. The obligations of inTEST that arise prior to the expiration of this Agreement will survive the expiration of the term of this Agreement.</w:t>
      </w:r>
    </w:p>
    <w:p>
      <w:pPr>
        <w:spacing w:after="0" w:line="177" w:lineRule="exact"/>
        <w:rPr>
          <w:sz w:val="20"/>
          <w:szCs w:val="20"/>
          <w:color w:val="auto"/>
        </w:rPr>
      </w:pPr>
    </w:p>
    <w:p>
      <w:pPr>
        <w:ind w:left="1160" w:hanging="504"/>
        <w:spacing w:after="0"/>
        <w:tabs>
          <w:tab w:leader="none" w:pos="11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w:t>
      </w:r>
    </w:p>
    <w:p>
      <w:pPr>
        <w:spacing w:after="0" w:line="229"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The invalidity or unenforceability of any provision of this Agreement will not affect the validity or enforceability of any other provision of this Agreement, which will remain in full force and effect.</w:t>
      </w:r>
    </w:p>
    <w:p>
      <w:pPr>
        <w:spacing w:after="0" w:line="166" w:lineRule="exact"/>
        <w:rPr>
          <w:sz w:val="20"/>
          <w:szCs w:val="20"/>
          <w:color w:val="auto"/>
        </w:rPr>
      </w:pPr>
    </w:p>
    <w:p>
      <w:pPr>
        <w:ind w:left="1160" w:hanging="504"/>
        <w:spacing w:after="0"/>
        <w:tabs>
          <w:tab w:leader="none" w:pos="11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This Agreement may be executed in several counterparts, each of which will be deemed to be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1160" w:hanging="504"/>
        <w:spacing w:after="0"/>
        <w:tabs>
          <w:tab w:leader="none" w:pos="11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AND INTEREST</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If a good faith dispute arises with respect to the enforcement of your rights under this Agreement or if any arbitration or legal proceeding will be brought in good faith to enforce or interpret any provision contained herein, or to recover damages for breach hereof, and you are the prevailing party, you will recover from inTEST any reasonable attorneys' fees and necessary costs and disbursements incurred as a result of such dispute or legal proceeding, and prejudgment interest on any money judgment obtained by you calculated at the rate of interest announced by J.P. Morgan Chase Bank, New York, or its successor, from time to time as its prime rate from the date that payments to you should have been made under this Agreement. It is expressly provided that inTEST will in no event recover from you any attorneys' fees, costs, disbursements or interest as a result of any dispute or legal proceeding involving inTEST and you.</w:t>
      </w:r>
    </w:p>
    <w:p>
      <w:pPr>
        <w:spacing w:after="0" w:line="191" w:lineRule="exact"/>
        <w:rPr>
          <w:sz w:val="20"/>
          <w:szCs w:val="20"/>
          <w:color w:val="auto"/>
        </w:rPr>
      </w:pPr>
    </w:p>
    <w:p>
      <w:pPr>
        <w:ind w:left="1160" w:hanging="504"/>
        <w:spacing w:after="0"/>
        <w:tabs>
          <w:tab w:leader="none" w:pos="11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OBLIGATIONS ABSOLUTE</w:t>
      </w:r>
      <w:r>
        <w:rPr>
          <w:rFonts w:ascii="Arial" w:cs="Arial" w:eastAsia="Arial" w:hAnsi="Arial"/>
          <w:sz w:val="18"/>
          <w:szCs w:val="18"/>
          <w:b w:val="1"/>
          <w:bCs w:val="1"/>
          <w:color w:val="auto"/>
        </w:rPr>
        <w:t>.</w:t>
      </w:r>
    </w:p>
    <w:p>
      <w:pPr>
        <w:spacing w:after="0" w:line="229"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inTEST's obligation to pay you the Termination Benefits in accordance with the provisions herein will be absolute and unconditional and will not be affected by any circumstances; provided, however, that inTEST may apply amounts payable under this Agreement to any debts owed to inTEST by you on the date of your termination. All amounts payable by inTEST in accordance with this Agreement will be paid without notice or demand. If inTEST has paid you more than the amount to which you are entitled under this Agreement, inTEST will have the right to recover all or any part of such overpayment from you or from whomsoever has received such amount.</w:t>
      </w:r>
    </w:p>
    <w:p>
      <w:pPr>
        <w:spacing w:after="0" w:line="172" w:lineRule="exact"/>
        <w:rPr>
          <w:sz w:val="20"/>
          <w:szCs w:val="20"/>
          <w:color w:val="auto"/>
        </w:rPr>
      </w:pPr>
    </w:p>
    <w:p>
      <w:pPr>
        <w:ind w:left="1160" w:hanging="504"/>
        <w:spacing w:after="0"/>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This Agreement sets forth the entire agreement between you and inTEST concerning the subject matter discussed in this Agreement and supersedes all prior agreements, promises, covenants, arrangements, communications, representations, or warranties, whether written or oral, by any officer, employee or representative of inTEST. Any prior agreements or understandings with respect to the subject matter set forth in this Agreement are hereby terminated and canceled.</w:t>
      </w:r>
    </w:p>
    <w:p>
      <w:pPr>
        <w:spacing w:after="0" w:line="183" w:lineRule="exact"/>
        <w:rPr>
          <w:sz w:val="20"/>
          <w:szCs w:val="20"/>
          <w:color w:val="auto"/>
        </w:rPr>
      </w:pPr>
    </w:p>
    <w:p>
      <w:pPr>
        <w:ind w:left="1160" w:hanging="504"/>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00" w:firstLine="1296"/>
        <w:spacing w:after="0" w:line="342" w:lineRule="auto"/>
        <w:rPr>
          <w:sz w:val="20"/>
          <w:szCs w:val="20"/>
          <w:color w:val="auto"/>
        </w:rPr>
      </w:pPr>
      <w:r>
        <w:rPr>
          <w:rFonts w:ascii="Arial" w:cs="Arial" w:eastAsia="Arial" w:hAnsi="Arial"/>
          <w:sz w:val="16"/>
          <w:szCs w:val="16"/>
          <w:color w:val="auto"/>
        </w:rPr>
        <w:t>Any action or claim at law or equity arising under or related to this Agreement will be brought only in the Superior Court of New Jersey or in the United States District Court for the District of New Jersey, and the parties hereto hereby consent to personal jurisdiction and venue in said courts.</w:t>
      </w:r>
    </w:p>
    <w:p>
      <w:pPr>
        <w:spacing w:after="0" w:line="120" w:lineRule="exact"/>
        <w:rPr>
          <w:sz w:val="20"/>
          <w:szCs w:val="20"/>
          <w:color w:val="auto"/>
        </w:rPr>
      </w:pPr>
    </w:p>
    <w:p>
      <w:pPr>
        <w:ind w:left="1100" w:hanging="444"/>
        <w:spacing w:after="0"/>
        <w:tabs>
          <w:tab w:leader="none" w:pos="11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CODE SECTION 409A.</w:t>
      </w:r>
    </w:p>
    <w:p>
      <w:pPr>
        <w:spacing w:after="0" w:line="22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For purposes of this Agreement, your termination of employment shall mean your “separation from service” as defined under Code Section 409A. Each payment under this Agreement that is determined to be subject to Section 409A shall be treated as a separate payment. In no event may you, directly or indirectly, designate the calendar year of any payment to be made under this Agreement. Notwithstanding any provision of this Agreement to the contrary, if you are a “specified employee” (as defined in Section 409A of the Code) as of your “separation from service” (as defined in Section</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409A of the Code), then the payment of any amounts payable hereunder that are subject to Section 409A of the Code shall be postponed in compliance with Section 409A (without any reduction in such payments ultimately paid or provided to you) until the first payroll date that occurs after the date that is six (6) months following your “separation from service.” Any such postponed payments shall be paid in a lump sum to you on the first payroll date that occurs after the date that is six (6) months following your “separation from service.” If you die during the postponement period prior to the payment of the postponed amount, the amounts withheld on account of Section 409A shall be paid to your estate within sixty (60) days after the date of your death.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If you would like to participate in this special benefits program, please sign and return the extra copy of this letter which is enclosed.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/s/ Joseph W. Dews IV</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Joseph W. Dews IV</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hereby accept the offer to participate in this special benefits program and I agree to be bound by all of the provisions noted above.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Hugh T. Regan, Jr.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4/29/20</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60"/>
          </w:cols>
          <w:pgMar w:left="320" w:top="584" w:right="719" w:bottom="1440" w:gutter="0" w:footer="0" w:header="0"/>
        </w:sectPr>
      </w:pPr>
    </w:p>
    <w:bookmarkStart w:id="52" w:name="page53"/>
    <w:bookmarkEnd w:id="52"/>
    <w:p>
      <w:pPr>
        <w:ind w:left="10120"/>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James Pelrin, certify that:</w:t>
      </w:r>
    </w:p>
    <w:p>
      <w:pPr>
        <w:spacing w:after="0" w:line="225" w:lineRule="exact"/>
        <w:rPr>
          <w:sz w:val="20"/>
          <w:szCs w:val="20"/>
          <w:color w:val="auto"/>
        </w:rPr>
      </w:pPr>
    </w:p>
    <w:p>
      <w:pPr>
        <w:ind w:left="780" w:hanging="322"/>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firstLine="458"/>
        <w:spacing w:after="0" w:line="342" w:lineRule="auto"/>
        <w:tabs>
          <w:tab w:leader="none" w:pos="7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458"/>
        <w:spacing w:after="0" w:line="308" w:lineRule="auto"/>
        <w:tabs>
          <w:tab w:leader="none" w:pos="7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58"/>
        <w:spacing w:after="0" w:line="263" w:lineRule="auto"/>
        <w:tabs>
          <w:tab w:leader="none" w:pos="7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40" w:firstLine="352"/>
        <w:spacing w:after="0" w:line="263" w:lineRule="auto"/>
        <w:tabs>
          <w:tab w:leader="none" w:pos="9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right="400" w:firstLine="352"/>
        <w:spacing w:after="0" w:line="263" w:lineRule="auto"/>
        <w:tabs>
          <w:tab w:leader="none" w:pos="10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80" w:firstLine="352"/>
        <w:spacing w:after="0" w:line="342" w:lineRule="auto"/>
        <w:tabs>
          <w:tab w:leader="none" w:pos="99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80" w:firstLine="352"/>
        <w:spacing w:after="0" w:line="263" w:lineRule="auto"/>
        <w:tabs>
          <w:tab w:leader="none" w:pos="10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80" w:firstLine="458"/>
        <w:spacing w:after="0" w:line="308" w:lineRule="auto"/>
        <w:tabs>
          <w:tab w:leader="none" w:pos="761"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780" w:firstLine="352"/>
        <w:spacing w:after="0" w:line="30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80" w:firstLine="352"/>
        <w:spacing w:after="0" w:line="277" w:lineRule="auto"/>
        <w:tabs>
          <w:tab w:leader="none" w:pos="9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2020</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780" w:hanging="322"/>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firstLine="458"/>
        <w:spacing w:after="0" w:line="342" w:lineRule="auto"/>
        <w:tabs>
          <w:tab w:leader="none" w:pos="765"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458"/>
        <w:spacing w:after="0" w:line="308" w:lineRule="auto"/>
        <w:tabs>
          <w:tab w:leader="none" w:pos="7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458"/>
        <w:spacing w:after="0" w:line="263" w:lineRule="auto"/>
        <w:tabs>
          <w:tab w:leader="none" w:pos="7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40" w:firstLine="352"/>
        <w:spacing w:after="0" w:line="263" w:lineRule="auto"/>
        <w:tabs>
          <w:tab w:leader="none" w:pos="99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right="400" w:firstLine="352"/>
        <w:spacing w:after="0" w:line="263"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580" w:firstLine="352"/>
        <w:spacing w:after="0" w:line="342" w:lineRule="auto"/>
        <w:tabs>
          <w:tab w:leader="none" w:pos="99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80" w:firstLine="352"/>
        <w:spacing w:after="0" w:line="263"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80" w:firstLine="458"/>
        <w:spacing w:after="0" w:line="308" w:lineRule="auto"/>
        <w:tabs>
          <w:tab w:leader="none" w:pos="76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780" w:firstLine="352"/>
        <w:spacing w:after="0" w:line="308" w:lineRule="auto"/>
        <w:tabs>
          <w:tab w:leader="none" w:pos="9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480" w:firstLine="352"/>
        <w:spacing w:after="0" w:line="277" w:lineRule="auto"/>
        <w:tabs>
          <w:tab w:leader="none" w:pos="99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March 31, 2020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440" w:hanging="432"/>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May 13,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James Pelrin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James Pelrin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In connection with the Quarterly Report of inTEST Corporation (the "Company") on Form 10-Q for the period ended March 31, 2020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2"/>
    </w:lvl>
  </w:abstractNum>
  <w:abstractNum w:abstractNumId="4">
    <w:nsid w:val="5E884ADC"/>
    <w:multiLevelType w:val="hybridMultilevel"/>
    <w:lvl w:ilvl="0">
      <w:lvlJc w:val="left"/>
      <w:lvlText w:val="(%1)"/>
      <w:numFmt w:val="decimal"/>
      <w:start w:val="3"/>
    </w:lvl>
  </w:abstractNum>
  <w:abstractNum w:abstractNumId="5">
    <w:nsid w:val="51EAD36B"/>
    <w:multiLevelType w:val="hybridMultilevel"/>
    <w:lvl w:ilvl="0">
      <w:lvlJc w:val="left"/>
      <w:lvlText w:val="(%1)"/>
      <w:numFmt w:val="decimal"/>
      <w:start w:val="4"/>
    </w:lvl>
  </w:abstractNum>
  <w:abstractNum w:abstractNumId="6">
    <w:nsid w:val="2D517796"/>
    <w:multiLevelType w:val="hybridMultilevel"/>
    <w:lvl w:ilvl="0">
      <w:lvlJc w:val="left"/>
      <w:lvlText w:val="(%1)"/>
      <w:numFmt w:val="decimal"/>
      <w:start w:val="5"/>
    </w:lvl>
  </w:abstractNum>
  <w:abstractNum w:abstractNumId="7">
    <w:nsid w:val="580BD78F"/>
    <w:multiLevelType w:val="hybridMultilevel"/>
    <w:lvl w:ilvl="0">
      <w:lvlJc w:val="left"/>
      <w:lvlText w:val="(%1)"/>
      <w:numFmt w:val="decimal"/>
      <w:start w:val="6"/>
    </w:lvl>
  </w:abstractNum>
  <w:abstractNum w:abstractNumId="8">
    <w:nsid w:val="153EA438"/>
    <w:multiLevelType w:val="hybridMultilevel"/>
    <w:lvl w:ilvl="0">
      <w:lvlJc w:val="left"/>
      <w:lvlText w:val="(%1)"/>
      <w:numFmt w:val="decimal"/>
      <w:start w:val="7"/>
    </w:lvl>
  </w:abstractNum>
  <w:abstractNum w:abstractNumId="9">
    <w:nsid w:val="3855585C"/>
    <w:multiLevelType w:val="hybridMultilevel"/>
    <w:lvl w:ilvl="0">
      <w:lvlJc w:val="left"/>
      <w:lvlText w:val="(%1)"/>
      <w:numFmt w:val="decimal"/>
      <w:start w:val="8"/>
    </w:lvl>
  </w:abstractNum>
  <w:abstractNum w:abstractNumId="10">
    <w:nsid w:val="70A64E2A"/>
    <w:multiLevelType w:val="hybridMultilevel"/>
    <w:lvl w:ilvl="0">
      <w:lvlJc w:val="left"/>
      <w:lvlText w:val="(%1)"/>
      <w:numFmt w:val="decimal"/>
      <w:start w:val="9"/>
    </w:lvl>
  </w:abstractNum>
  <w:abstractNum w:abstractNumId="11">
    <w:nsid w:val="6A2342EC"/>
    <w:multiLevelType w:val="hybridMultilevel"/>
    <w:lvl w:ilvl="0">
      <w:lvlJc w:val="left"/>
      <w:lvlText w:val="(%1)"/>
      <w:numFmt w:val="decimal"/>
      <w:start w:val="10"/>
    </w:lvl>
  </w:abstractNum>
  <w:abstractNum w:abstractNumId="12">
    <w:nsid w:val="2A487CB0"/>
    <w:multiLevelType w:val="hybridMultilevel"/>
    <w:lvl w:ilvl="0">
      <w:lvlJc w:val="left"/>
      <w:lvlText w:val="(%1)"/>
      <w:numFmt w:val="decimal"/>
      <w:start w:val="11"/>
    </w:lvl>
  </w:abstractNum>
  <w:abstractNum w:abstractNumId="13">
    <w:nsid w:val="1D4ED43B"/>
    <w:multiLevelType w:val="hybridMultilevel"/>
    <w:lvl w:ilvl="0">
      <w:lvlJc w:val="left"/>
      <w:lvlText w:val="(%1)"/>
      <w:numFmt w:val="decimal"/>
      <w:start w:val="13"/>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2"/>
    </w:lvl>
  </w:abstractNum>
  <w:abstractNum w:abstractNumId="19">
    <w:nsid w:val="542289EC"/>
    <w:multiLevelType w:val="hybridMultilevel"/>
    <w:lvl w:ilvl="0">
      <w:lvlJc w:val="left"/>
      <w:lvlText w:val="%1."/>
      <w:numFmt w:val="decimal"/>
      <w:start w:val="3"/>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decimal"/>
      <w:start w:val="4"/>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decimal"/>
      <w:start w:val="5"/>
    </w:lvl>
  </w:abstractNum>
  <w:abstractNum w:abstractNumId="24">
    <w:nsid w:val="684A481A"/>
    <w:multiLevelType w:val="hybridMultilevel"/>
    <w:lvl w:ilvl="0">
      <w:lvlJc w:val="left"/>
      <w:lvlText w:val="%1"/>
      <w:numFmt w:val="decimal"/>
      <w:start w:val="1"/>
    </w:lvl>
    <w:lvl w:ilvl="1">
      <w:lvlJc w:val="left"/>
      <w:lvlText w:val="(%2)"/>
      <w:numFmt w:val="lowerLetter"/>
      <w:start w:val="1"/>
    </w:lvl>
  </w:abstractNum>
  <w:abstractNum w:abstractNumId="25">
    <w:nsid w:val="579478FE"/>
    <w:multiLevelType w:val="hybridMultilevel"/>
    <w:lvl w:ilvl="0">
      <w:lvlJc w:val="left"/>
      <w:lvlText w:val="%1."/>
      <w:numFmt w:val="decimal"/>
      <w:start w:val="6"/>
    </w:lvl>
    <w:lvl w:ilvl="1">
      <w:lvlJc w:val="left"/>
      <w:lvlText w:val="%2"/>
      <w:numFmt w:val="lowerLetter"/>
      <w:start w:val="1"/>
    </w:lvl>
  </w:abstractNum>
  <w:abstractNum w:abstractNumId="26">
    <w:nsid w:val="749ABB43"/>
    <w:multiLevelType w:val="hybridMultilevel"/>
    <w:lvl w:ilvl="0">
      <w:lvlJc w:val="left"/>
      <w:lvlText w:val="(%1)"/>
      <w:numFmt w:val="lowerLetter"/>
      <w:start w:val="1"/>
    </w:lvl>
    <w:lvl w:ilvl="1">
      <w:lvlJc w:val="left"/>
      <w:lvlText w:val="-"/>
      <w:numFmt w:val="bullet"/>
      <w:start w:val="1"/>
    </w:lvl>
  </w:abstractNum>
  <w:abstractNum w:abstractNumId="27">
    <w:nsid w:val="3DC240FB"/>
    <w:multiLevelType w:val="hybridMultilevel"/>
    <w:lvl w:ilvl="0">
      <w:lvlJc w:val="left"/>
      <w:lvlText w:val="%1."/>
      <w:numFmt w:val="decimal"/>
      <w:start w:val="7"/>
    </w:lvl>
  </w:abstractNum>
  <w:abstractNum w:abstractNumId="28">
    <w:nsid w:val="1BA026FA"/>
    <w:multiLevelType w:val="hybridMultilevel"/>
    <w:lvl w:ilvl="0">
      <w:lvlJc w:val="left"/>
      <w:lvlText w:val="%1."/>
      <w:numFmt w:val="decimal"/>
      <w:start w:val="8"/>
    </w:lvl>
  </w:abstractNum>
  <w:abstractNum w:abstractNumId="29">
    <w:nsid w:val="79A1DEAA"/>
    <w:multiLevelType w:val="hybridMultilevel"/>
    <w:lvl w:ilvl="0">
      <w:lvlJc w:val="left"/>
      <w:lvlText w:val="(%1)"/>
      <w:numFmt w:val="lowerLetter"/>
      <w:start w:val="1"/>
    </w:lvl>
    <w:lvl w:ilvl="1">
      <w:lvlJc w:val="left"/>
      <w:lvlText w:val="-"/>
      <w:numFmt w:val="bullet"/>
      <w:start w:val="1"/>
    </w:lvl>
  </w:abstractNum>
  <w:abstractNum w:abstractNumId="30">
    <w:nsid w:val="75C6C33A"/>
    <w:multiLevelType w:val="hybridMultilevel"/>
    <w:lvl w:ilvl="0">
      <w:lvlJc w:val="left"/>
      <w:lvlText w:val="%1"/>
      <w:numFmt w:val="decimal"/>
      <w:start w:val="1"/>
    </w:lvl>
    <w:lvl w:ilvl="1">
      <w:lvlJc w:val="left"/>
      <w:lvlText w:val="(%2)"/>
      <w:numFmt w:val="lowerLetter"/>
      <w:start w:val="6"/>
    </w:lvl>
  </w:abstractNum>
  <w:abstractNum w:abstractNumId="31">
    <w:nsid w:val="12E685FB"/>
    <w:multiLevelType w:val="hybridMultilevel"/>
    <w:lvl w:ilvl="0">
      <w:lvlJc w:val="left"/>
      <w:lvlText w:val="%1."/>
      <w:numFmt w:val="decimal"/>
      <w:start w:val="9"/>
    </w:lvl>
    <w:lvl w:ilvl="1">
      <w:lvlJc w:val="left"/>
      <w:lvlText w:val="%2"/>
      <w:numFmt w:val="lowerLetter"/>
      <w:start w:val="1"/>
    </w:lvl>
  </w:abstractNum>
  <w:abstractNum w:abstractNumId="32">
    <w:nsid w:val="70C6A529"/>
    <w:multiLevelType w:val="hybridMultilevel"/>
    <w:lvl w:ilvl="0">
      <w:lvlJc w:val="left"/>
      <w:lvlText w:val="%1."/>
      <w:numFmt w:val="decimal"/>
      <w:start w:val="10"/>
    </w:lvl>
  </w:abstractNum>
  <w:abstractNum w:abstractNumId="33">
    <w:nsid w:val="520EEDD1"/>
    <w:multiLevelType w:val="hybridMultilevel"/>
    <w:lvl w:ilvl="0">
      <w:lvlJc w:val="left"/>
      <w:lvlText w:val="%1."/>
      <w:numFmt w:val="decimal"/>
      <w:start w:val="11"/>
    </w:lvl>
  </w:abstractNum>
  <w:abstractNum w:abstractNumId="34">
    <w:nsid w:val="374A3FE6"/>
    <w:multiLevelType w:val="hybridMultilevel"/>
    <w:lvl w:ilvl="0">
      <w:lvlJc w:val="left"/>
      <w:lvlText w:val="%1."/>
      <w:numFmt w:val="decimal"/>
      <w:start w:val="12"/>
    </w:lvl>
  </w:abstractNum>
  <w:abstractNum w:abstractNumId="35">
    <w:nsid w:val="4F4EF005"/>
    <w:multiLevelType w:val="hybridMultilevel"/>
    <w:lvl w:ilvl="0">
      <w:lvlJc w:val="left"/>
      <w:lvlText w:val="%1."/>
      <w:numFmt w:val="decimal"/>
      <w:start w:val="13"/>
    </w:lvl>
  </w:abstractNum>
  <w:abstractNum w:abstractNumId="36">
    <w:nsid w:val="23F9C13C"/>
    <w:multiLevelType w:val="hybridMultilevel"/>
    <w:lvl w:ilvl="0">
      <w:lvlJc w:val="left"/>
      <w:lvlText w:val="%1."/>
      <w:numFmt w:val="decimal"/>
      <w:start w:val="14"/>
    </w:lvl>
  </w:abstractNum>
  <w:abstractNum w:abstractNumId="37">
    <w:nsid w:val="649BB77C"/>
    <w:multiLevelType w:val="hybridMultilevel"/>
    <w:lvl w:ilvl="0">
      <w:lvlJc w:val="left"/>
      <w:lvlText w:val="%1."/>
      <w:numFmt w:val="decimal"/>
      <w:start w:val="15"/>
    </w:lvl>
  </w:abstractNum>
  <w:abstractNum w:abstractNumId="38">
    <w:nsid w:val="275AC794"/>
    <w:multiLevelType w:val="hybridMultilevel"/>
    <w:lvl w:ilvl="0">
      <w:lvlJc w:val="left"/>
      <w:lvlText w:val="%1."/>
      <w:numFmt w:val="decimal"/>
      <w:start w:val="16"/>
    </w:lvl>
  </w:abstractNum>
  <w:abstractNum w:abstractNumId="39">
    <w:nsid w:val="39386575"/>
    <w:multiLevelType w:val="hybridMultilevel"/>
    <w:lvl w:ilvl="0">
      <w:lvlJc w:val="left"/>
      <w:lvlText w:val="%1."/>
      <w:numFmt w:val="decimal"/>
      <w:start w:val="17"/>
    </w:lvl>
  </w:abstractNum>
  <w:abstractNum w:abstractNumId="40">
    <w:nsid w:val="1CF10FD8"/>
    <w:multiLevelType w:val="hybridMultilevel"/>
    <w:lvl w:ilvl="0">
      <w:lvlJc w:val="left"/>
      <w:lvlText w:val="%1."/>
      <w:numFmt w:val="decimal"/>
      <w:start w:val="18"/>
    </w:lvl>
  </w:abstractNum>
  <w:abstractNum w:abstractNumId="41">
    <w:nsid w:val="180115BE"/>
    <w:multiLevelType w:val="hybridMultilevel"/>
    <w:lvl w:ilvl="0">
      <w:lvlJc w:val="left"/>
      <w:lvlText w:val="%1."/>
      <w:numFmt w:val="decimal"/>
      <w:start w:val="19"/>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2"/>
    </w:lvl>
  </w:abstractNum>
  <w:abstractNum w:abstractNumId="44">
    <w:nsid w:val="354FE9F9"/>
    <w:multiLevelType w:val="hybridMultilevel"/>
    <w:lvl w:ilvl="0">
      <w:lvlJc w:val="left"/>
      <w:lvlText w:val="%1."/>
      <w:numFmt w:val="decimal"/>
      <w:start w:val="3"/>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decimal"/>
      <w:start w:val="4"/>
    </w:lvl>
  </w:abstractNum>
  <w:abstractNum w:abstractNumId="47">
    <w:nsid w:val="D34B6A8"/>
    <w:multiLevelType w:val="hybridMultilevel"/>
    <w:lvl w:ilvl="0">
      <w:lvlJc w:val="left"/>
      <w:lvlText w:val="(%1)"/>
      <w:numFmt w:val="lowerLetter"/>
      <w:start w:val="1"/>
    </w:lvl>
    <w:lvl w:ilvl="1">
      <w:lvlJc w:val="left"/>
      <w:lvlText w:val="-"/>
      <w:numFmt w:val="bullet"/>
      <w:start w:val="1"/>
    </w:lvl>
  </w:abstractNum>
  <w:abstractNum w:abstractNumId="48">
    <w:nsid w:val="10233C99"/>
    <w:multiLevelType w:val="hybridMultilevel"/>
    <w:lvl w:ilvl="0">
      <w:lvlJc w:val="left"/>
      <w:lvlText w:val="(%1)"/>
      <w:numFmt w:val="lowerLetter"/>
      <w:start w:val="2"/>
    </w:lvl>
  </w:abstractNum>
  <w:abstractNum w:abstractNumId="49">
    <w:nsid w:val="3F6AB60F"/>
    <w:multiLevelType w:val="hybridMultilevel"/>
    <w:lvl w:ilvl="0">
      <w:lvlJc w:val="left"/>
      <w:lvlText w:val="%1."/>
      <w:numFmt w:val="decimal"/>
      <w:start w:val="5"/>
    </w:lvl>
  </w:abstractNum>
  <w:abstractNum w:abstractNumId="50">
    <w:nsid w:val="61574095"/>
    <w:multiLevelType w:val="hybridMultilevel"/>
    <w:lvl w:ilvl="0">
      <w:lvlJc w:val="left"/>
      <w:lvlText w:val="(%1)"/>
      <w:numFmt w:val="lowerLetter"/>
      <w:start w:val="1"/>
    </w:lvl>
    <w:lvl w:ilvl="1">
      <w:lvlJc w:val="left"/>
      <w:lvlText w:val="-"/>
      <w:numFmt w:val="bullet"/>
      <w:start w:val="1"/>
    </w:lvl>
  </w:abstractNum>
  <w:abstractNum w:abstractNumId="51">
    <w:nsid w:val="7E0C57B1"/>
    <w:multiLevelType w:val="hybridMultilevel"/>
    <w:lvl w:ilvl="0">
      <w:lvlJc w:val="left"/>
      <w:lvlText w:val="%1"/>
      <w:numFmt w:val="decimal"/>
      <w:start w:val="1"/>
    </w:lvl>
    <w:lvl w:ilvl="1">
      <w:lvlJc w:val="left"/>
      <w:lvlText w:val="(%2)"/>
      <w:numFmt w:val="lowerLetter"/>
      <w:start w:val="2"/>
    </w:lvl>
  </w:abstractNum>
  <w:abstractNum w:abstractNumId="52">
    <w:nsid w:val="77AE35EB"/>
    <w:multiLevelType w:val="hybridMultilevel"/>
    <w:lvl w:ilvl="0">
      <w:lvlJc w:val="left"/>
      <w:lvlText w:val="%1."/>
      <w:numFmt w:val="decimal"/>
      <w:start w:val="6"/>
    </w:lvl>
    <w:lvl w:ilvl="1">
      <w:lvlJc w:val="left"/>
      <w:lvlText w:val="%2"/>
      <w:numFmt w:val="lowerLetter"/>
      <w:start w:val="1"/>
    </w:lvl>
  </w:abstractNum>
  <w:abstractNum w:abstractNumId="53">
    <w:nsid w:val="579BE4F1"/>
    <w:multiLevelType w:val="hybridMultilevel"/>
    <w:lvl w:ilvl="0">
      <w:lvlJc w:val="left"/>
      <w:lvlText w:val="%1"/>
      <w:numFmt w:val="decimal"/>
      <w:start w:val="1"/>
    </w:lvl>
    <w:lvl w:ilvl="1">
      <w:lvlJc w:val="left"/>
      <w:lvlText w:val="(%2)"/>
      <w:numFmt w:val="lowerLetter"/>
      <w:start w:val="1"/>
    </w:lvl>
  </w:abstractNum>
  <w:abstractNum w:abstractNumId="54">
    <w:nsid w:val="310C50B3"/>
    <w:multiLevelType w:val="hybridMultilevel"/>
    <w:lvl w:ilvl="0">
      <w:lvlJc w:val="left"/>
      <w:lvlText w:val="%1."/>
      <w:numFmt w:val="decimal"/>
      <w:start w:val="7"/>
    </w:lvl>
    <w:lvl w:ilvl="1">
      <w:lvlJc w:val="left"/>
      <w:lvlText w:val="%2"/>
      <w:numFmt w:val="lowerLetter"/>
      <w:start w:val="1"/>
    </w:lvl>
  </w:abstractNum>
  <w:abstractNum w:abstractNumId="55">
    <w:nsid w:val="5FF87E05"/>
    <w:multiLevelType w:val="hybridMultilevel"/>
    <w:lvl w:ilvl="0">
      <w:lvlJc w:val="left"/>
      <w:lvlText w:val="%1."/>
      <w:numFmt w:val="decimal"/>
      <w:start w:val="8"/>
    </w:lvl>
  </w:abstractNum>
  <w:abstractNum w:abstractNumId="56">
    <w:nsid w:val="2F305DEF"/>
    <w:multiLevelType w:val="hybridMultilevel"/>
    <w:lvl w:ilvl="0">
      <w:lvlJc w:val="left"/>
      <w:lvlText w:val="(%1)"/>
      <w:numFmt w:val="lowerLetter"/>
      <w:start w:val="1"/>
    </w:lvl>
    <w:lvl w:ilvl="1">
      <w:lvlJc w:val="left"/>
      <w:lvlText w:val="-"/>
      <w:numFmt w:val="bullet"/>
      <w:start w:val="1"/>
    </w:lvl>
  </w:abstractNum>
  <w:abstractNum w:abstractNumId="57">
    <w:nsid w:val="25A70BF7"/>
    <w:multiLevelType w:val="hybridMultilevel"/>
    <w:lvl w:ilvl="0">
      <w:lvlJc w:val="left"/>
      <w:lvlText w:val="%1"/>
      <w:numFmt w:val="decimal"/>
      <w:start w:val="1"/>
    </w:lvl>
    <w:lvl w:ilvl="1">
      <w:lvlJc w:val="left"/>
      <w:lvlText w:val="(%2)"/>
      <w:numFmt w:val="lowerLetter"/>
      <w:start w:val="2"/>
    </w:lvl>
  </w:abstractNum>
  <w:abstractNum w:abstractNumId="58">
    <w:nsid w:val="1DBABF00"/>
    <w:multiLevelType w:val="hybridMultilevel"/>
    <w:lvl w:ilvl="0">
      <w:lvlJc w:val="left"/>
      <w:lvlText w:val="%1."/>
      <w:numFmt w:val="decimal"/>
      <w:start w:val="9"/>
    </w:lvl>
    <w:lvl w:ilvl="1">
      <w:lvlJc w:val="left"/>
      <w:lvlText w:val="%2"/>
      <w:numFmt w:val="lowerLetter"/>
      <w:start w:val="1"/>
    </w:lvl>
  </w:abstractNum>
  <w:abstractNum w:abstractNumId="59">
    <w:nsid w:val="4AD084E9"/>
    <w:multiLevelType w:val="hybridMultilevel"/>
    <w:lvl w:ilvl="0">
      <w:lvlJc w:val="left"/>
      <w:lvlText w:val="%1."/>
      <w:numFmt w:val="decimal"/>
      <w:start w:val="10"/>
    </w:lvl>
  </w:abstractNum>
  <w:abstractNum w:abstractNumId="60">
    <w:nsid w:val="1F48EAA1"/>
    <w:multiLevelType w:val="hybridMultilevel"/>
    <w:lvl w:ilvl="0">
      <w:lvlJc w:val="left"/>
      <w:lvlText w:val="%1."/>
      <w:numFmt w:val="decimal"/>
      <w:start w:val="11"/>
    </w:lvl>
  </w:abstractNum>
  <w:abstractNum w:abstractNumId="61">
    <w:nsid w:val="1381823A"/>
    <w:multiLevelType w:val="hybridMultilevel"/>
    <w:lvl w:ilvl="0">
      <w:lvlJc w:val="left"/>
      <w:lvlText w:val="%1."/>
      <w:numFmt w:val="decimal"/>
      <w:start w:val="12"/>
    </w:lvl>
  </w:abstractNum>
  <w:abstractNum w:abstractNumId="62">
    <w:nsid w:val="5DB70AE5"/>
    <w:multiLevelType w:val="hybridMultilevel"/>
    <w:lvl w:ilvl="0">
      <w:lvlJc w:val="left"/>
      <w:lvlText w:val="%1."/>
      <w:numFmt w:val="decimal"/>
      <w:start w:val="13"/>
    </w:lvl>
  </w:abstractNum>
  <w:abstractNum w:abstractNumId="63">
    <w:nsid w:val="100F8FCA"/>
    <w:multiLevelType w:val="hybridMultilevel"/>
    <w:lvl w:ilvl="0">
      <w:lvlJc w:val="left"/>
      <w:lvlText w:val="%1."/>
      <w:numFmt w:val="decimal"/>
      <w:start w:val="14"/>
    </w:lvl>
  </w:abstractNum>
  <w:abstractNum w:abstractNumId="64">
    <w:nsid w:val="6590700B"/>
    <w:multiLevelType w:val="hybridMultilevel"/>
    <w:lvl w:ilvl="0">
      <w:lvlJc w:val="left"/>
      <w:lvlText w:val="%1."/>
      <w:numFmt w:val="decimal"/>
      <w:start w:val="15"/>
    </w:lvl>
  </w:abstractNum>
  <w:abstractNum w:abstractNumId="65">
    <w:nsid w:val="15014ACB"/>
    <w:multiLevelType w:val="hybridMultilevel"/>
    <w:lvl w:ilvl="0">
      <w:lvlJc w:val="left"/>
      <w:lvlText w:val="%1."/>
      <w:numFmt w:val="decimal"/>
      <w:start w:val="16"/>
    </w:lvl>
  </w:abstractNum>
  <w:abstractNum w:abstractNumId="66">
    <w:nsid w:val="5F5E7FD0"/>
    <w:multiLevelType w:val="hybridMultilevel"/>
    <w:lvl w:ilvl="0">
      <w:lvlJc w:val="left"/>
      <w:lvlText w:val="%1."/>
      <w:numFmt w:val="decimal"/>
      <w:start w:val="17"/>
    </w:lvl>
  </w:abstractNum>
  <w:abstractNum w:abstractNumId="67">
    <w:nsid w:val="98A3148"/>
    <w:multiLevelType w:val="hybridMultilevel"/>
    <w:lvl w:ilvl="0">
      <w:lvlJc w:val="left"/>
      <w:lvlText w:val="%1."/>
      <w:numFmt w:val="decimal"/>
      <w:start w:val="18"/>
    </w:lvl>
  </w:abstractNum>
  <w:abstractNum w:abstractNumId="68">
    <w:nsid w:val="799D0247"/>
    <w:multiLevelType w:val="hybridMultilevel"/>
    <w:lvl w:ilvl="0">
      <w:lvlJc w:val="left"/>
      <w:lvlText w:val="%1."/>
      <w:numFmt w:val="decimal"/>
      <w:start w:val="19"/>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jpe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jpe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39" Type="http://schemas.openxmlformats.org/officeDocument/2006/relationships/hyperlink" Target="http://www.sec.gov/Archives/edgar/data/1036262/000143774920001297/ex_170460.htm" TargetMode="External"/><Relationship Id="rId40" Type="http://schemas.openxmlformats.org/officeDocument/2006/relationships/hyperlink" Target="http://www.sec.gov/Archives/edgar/data/1036262/000143774920007769/ex_181352.htm" TargetMode="External"/><Relationship Id="rId41" Type="http://schemas.openxmlformats.org/officeDocument/2006/relationships/hyperlink" Target="http://www.sec.gov/Archives/edgar/data/1036262/000143774920007769/ex_181353.htm" TargetMode="External"/><Relationship Id="rId42" Type="http://schemas.openxmlformats.org/officeDocument/2006/relationships/hyperlink" Target="http://www.sec.gov/Archives/edgar/data/1036262/000143774920007769/ex_181288.htm" TargetMode="External"/><Relationship Id="rId43" Type="http://schemas.openxmlformats.org/officeDocument/2006/relationships/hyperlink" Target="http://www.sec.gov/Archives/edgar/data/1036262/000143774920007769/ex_1812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2020-05-13T15:19:12Z</dcterms:created>
  <dcterms:modified xsi:type="dcterms:W3CDTF">2020-05-13T15:19:12Z</dcterms:modified>
</cp:coreProperties>
</file>