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UNITED STATES</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8"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color w:val="auto"/>
        </w:rPr>
        <w:t>_____________</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3" w:lineRule="exact"/>
        <w:rPr>
          <w:sz w:val="24"/>
          <w:szCs w:val="24"/>
          <w:color w:val="auto"/>
        </w:rPr>
      </w:pPr>
    </w:p>
    <w:p>
      <w:pPr>
        <w:ind w:left="3940" w:right="1860" w:hanging="3932"/>
        <w:spacing w:after="0" w:line="265" w:lineRule="auto"/>
        <w:tabs>
          <w:tab w:leader="none" w:pos="2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31, 2019</w:t>
      </w:r>
      <w:r>
        <w:rPr>
          <w:rFonts w:ascii="Times New Roman" w:cs="Times New Roman" w:eastAsia="Times New Roman" w:hAnsi="Times New Roman"/>
          <w:sz w:val="18"/>
          <w:szCs w:val="18"/>
          <w:color w:val="auto"/>
        </w:rPr>
        <w:t xml:space="preserve"> or</w:t>
      </w:r>
    </w:p>
    <w:p>
      <w:pPr>
        <w:spacing w:after="0" w:line="172" w:lineRule="exact"/>
        <w:rPr>
          <w:sz w:val="24"/>
          <w:szCs w:val="24"/>
          <w:color w:val="auto"/>
        </w:rPr>
      </w:pPr>
    </w:p>
    <w:p>
      <w:pPr>
        <w:ind w:left="2860" w:right="1860" w:hanging="2852"/>
        <w:spacing w:after="0" w:line="285" w:lineRule="auto"/>
        <w:tabs>
          <w:tab w:leader="none" w:pos="2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__________________ to ___________________</w:t>
      </w:r>
    </w:p>
    <w:p>
      <w:pPr>
        <w:spacing w:after="0" w:line="1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1-36117</w:t>
      </w:r>
    </w:p>
    <w:p>
      <w:pPr>
        <w:spacing w:after="0" w:line="2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inTEST Corporation</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1" w:lineRule="exact"/>
        <w:rPr>
          <w:sz w:val="24"/>
          <w:szCs w:val="24"/>
          <w:color w:val="auto"/>
        </w:rPr>
      </w:pPr>
    </w:p>
    <w:tbl>
      <w:tblPr>
        <w:tblLayout w:type="fixed"/>
        <w:tblInd w:w="152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22-2370659</w:t>
            </w:r>
          </w:p>
        </w:tc>
        <w:tc>
          <w:tcPr>
            <w:tcW w:w="1020" w:type="dxa"/>
            <w:vAlign w:val="bottom"/>
          </w:tcPr>
          <w:p>
            <w:pPr>
              <w:spacing w:after="0"/>
              <w:rPr>
                <w:sz w:val="17"/>
                <w:szCs w:val="17"/>
                <w:color w:val="auto"/>
              </w:rPr>
            </w:pPr>
          </w:p>
        </w:tc>
      </w:tr>
      <w:tr>
        <w:trPr>
          <w:trHeight w:val="236"/>
        </w:trPr>
        <w:tc>
          <w:tcPr>
            <w:tcW w:w="46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3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804 East Gate Drive, Suite 200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Mt. Laurel, New Jersey 08054</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(856) 505-8800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4"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302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3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r>
      <w:tr>
        <w:trPr>
          <w:trHeight w:val="236"/>
        </w:trPr>
        <w:tc>
          <w:tcPr>
            <w:tcW w:w="38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800" w:type="dxa"/>
            <w:vAlign w:val="bottom"/>
          </w:tcPr>
          <w:p>
            <w:pPr>
              <w:spacing w:after="0"/>
              <w:rPr>
                <w:sz w:val="20"/>
                <w:szCs w:val="20"/>
                <w:color w:val="auto"/>
              </w:rPr>
            </w:pPr>
          </w:p>
        </w:tc>
        <w:tc>
          <w:tcPr>
            <w:tcW w:w="25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7"/>
              </w:rPr>
              <w:t>INTT</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7" w:lineRule="exact"/>
        <w:rPr>
          <w:sz w:val="24"/>
          <w:szCs w:val="24"/>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(SS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686" w:right="419" w:bottom="1440" w:gutter="0" w:footer="0" w:header="0"/>
        </w:sectPr>
      </w:pPr>
    </w:p>
    <w:p>
      <w:pPr>
        <w:spacing w:after="0" w:line="14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7" w:lineRule="exact"/>
        <w:rPr>
          <w:sz w:val="24"/>
          <w:szCs w:val="24"/>
          <w:color w:val="auto"/>
        </w:rPr>
      </w:pPr>
    </w:p>
    <w:p>
      <w:pPr>
        <w:ind w:left="120"/>
        <w:spacing w:after="0" w:line="207" w:lineRule="exact"/>
        <w:tabs>
          <w:tab w:leader="none" w:pos="17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8" w:lineRule="exact"/>
        <w:rPr>
          <w:sz w:val="24"/>
          <w:szCs w:val="24"/>
          <w:color w:val="auto"/>
        </w:rPr>
      </w:pPr>
    </w:p>
    <w:p>
      <w:pPr>
        <w:sectPr>
          <w:pgSz w:w="11900" w:h="16838" w:orient="portrait"/>
          <w:cols w:equalWidth="0" w:num="2">
            <w:col w:w="6120" w:space="720"/>
            <w:col w:w="4400"/>
          </w:cols>
          <w:pgMar w:left="240" w:top="686" w:right="41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2080" w:space="100"/>
            <w:col w:w="9060"/>
          </w:cols>
          <w:pgMar w:left="240" w:top="686" w:right="41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tabs>
          <w:tab w:leader="none" w:pos="8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$0.01 par value, outstanding as of the close of business on April 30, 2019: 10,565,683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72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40"/>
          </w:cols>
          <w:pgMar w:left="240" w:top="686" w:right="419" w:bottom="1440" w:gutter="0" w:footer="0" w:header="0"/>
          <w:type w:val="continuous"/>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6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inTEST CORPORATION</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7"/>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380" w:type="dxa"/>
            <w:vAlign w:val="bottom"/>
            <w:gridSpan w:val="9"/>
            <w:vMerge w:val="restart"/>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FINANCIAL INFORMATION</w:t>
              </w:r>
            </w:hyperlink>
          </w:p>
        </w:tc>
        <w:tc>
          <w:tcPr>
            <w:tcW w:w="6920" w:type="dxa"/>
            <w:vAlign w:val="bottom"/>
            <w:gridSpan w:val="10"/>
            <w:vMerge w:val="restart"/>
          </w:tcPr>
          <w:p>
            <w:pPr>
              <w:spacing w:after="0"/>
              <w:rPr>
                <w:sz w:val="24"/>
                <w:szCs w:val="24"/>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0"/>
        </w:trPr>
        <w:tc>
          <w:tcPr>
            <w:tcW w:w="820" w:type="dxa"/>
            <w:vAlign w:val="bottom"/>
            <w:gridSpan w:val="2"/>
            <w:vMerge w:val="continue"/>
          </w:tcPr>
          <w:p>
            <w:pPr>
              <w:spacing w:after="0"/>
              <w:rPr>
                <w:sz w:val="16"/>
                <w:szCs w:val="16"/>
                <w:color w:val="auto"/>
              </w:rPr>
            </w:pPr>
          </w:p>
        </w:tc>
        <w:tc>
          <w:tcPr>
            <w:tcW w:w="2380" w:type="dxa"/>
            <w:vAlign w:val="bottom"/>
            <w:tcBorders>
              <w:bottom w:val="single" w:sz="8" w:color="0000EE"/>
            </w:tcBorders>
            <w:gridSpan w:val="9"/>
            <w:vMerge w:val="continue"/>
          </w:tcPr>
          <w:p>
            <w:pPr>
              <w:spacing w:after="0"/>
              <w:rPr>
                <w:sz w:val="16"/>
                <w:szCs w:val="16"/>
                <w:color w:val="auto"/>
              </w:rPr>
            </w:pPr>
          </w:p>
        </w:tc>
        <w:tc>
          <w:tcPr>
            <w:tcW w:w="6920" w:type="dxa"/>
            <w:vAlign w:val="bottom"/>
            <w:gridSpan w:val="10"/>
            <w:vMerge w:val="continue"/>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158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i w:val="1"/>
                <w:iCs w:val="1"/>
                <w:color w:val="0000EE"/>
                <w:w w:val="98"/>
              </w:rPr>
            </w:pPr>
            <w:hyperlink w:anchor="page3">
              <w:r>
                <w:rPr>
                  <w:rFonts w:ascii="Times New Roman" w:cs="Times New Roman" w:eastAsia="Times New Roman" w:hAnsi="Times New Roman"/>
                  <w:sz w:val="18"/>
                  <w:szCs w:val="18"/>
                  <w:b w:val="1"/>
                  <w:bCs w:val="1"/>
                  <w:i w:val="1"/>
                  <w:iCs w:val="1"/>
                  <w:color w:val="0000EE"/>
                  <w:w w:val="98"/>
                </w:rPr>
                <w:t>Financial Statements</w:t>
              </w:r>
            </w:hyperlink>
          </w:p>
        </w:tc>
        <w:tc>
          <w:tcPr>
            <w:tcW w:w="7720" w:type="dxa"/>
            <w:vAlign w:val="bottom"/>
            <w:gridSpan w:val="14"/>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1"/>
        </w:trPr>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March 31, 2019 (Unaudited) and December 31, 2018</w:t>
              </w:r>
            </w:hyperlink>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6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Consolidated Statements of Operations for the three months ended March 31, 2019 and 2018</w:t>
              </w:r>
            </w:hyperlink>
          </w:p>
        </w:tc>
        <w:tc>
          <w:tcPr>
            <w:tcW w:w="1840" w:type="dxa"/>
            <w:vAlign w:val="bottom"/>
            <w:gridSpan w:val="4"/>
          </w:tcPr>
          <w:p>
            <w:pPr>
              <w:spacing w:after="0"/>
              <w:rPr>
                <w:sz w:val="16"/>
                <w:szCs w:val="16"/>
                <w:color w:val="auto"/>
              </w:rPr>
            </w:pPr>
          </w:p>
        </w:tc>
        <w:tc>
          <w:tcPr>
            <w:tcW w:w="130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tcBorders>
              <w:bottom w:val="single" w:sz="8" w:color="0000EE"/>
            </w:tcBorders>
            <w:gridSpan w:val="18"/>
          </w:tcPr>
          <w:p>
            <w:pPr>
              <w:spacing w:after="0" w:line="195"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Consolidated Statements of Comprehensive Earnings for the three months ended March 31, 2019 and 2018</w:t>
              </w:r>
            </w:hyperlink>
          </w:p>
        </w:tc>
        <w:tc>
          <w:tcPr>
            <w:tcW w:w="820" w:type="dxa"/>
            <w:vAlign w:val="bottom"/>
          </w:tcPr>
          <w:p>
            <w:pPr>
              <w:spacing w:after="0"/>
              <w:rPr>
                <w:sz w:val="16"/>
                <w:szCs w:val="16"/>
                <w:color w:val="auto"/>
              </w:rPr>
            </w:pPr>
          </w:p>
        </w:tc>
        <w:tc>
          <w:tcPr>
            <w:tcW w:w="130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00" w:type="dxa"/>
            <w:vAlign w:val="bottom"/>
            <w:gridSpan w:val="19"/>
          </w:tcPr>
          <w:p>
            <w:pPr>
              <w:spacing w:after="0" w:line="195"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Consolidated Statement of Stockholders' Equity for the three months ended March 31, 2019 and 2018</w:t>
              </w:r>
            </w:hyperlink>
          </w:p>
        </w:tc>
        <w:tc>
          <w:tcPr>
            <w:tcW w:w="130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80" w:type="dxa"/>
            <w:vAlign w:val="bottom"/>
            <w:tcBorders>
              <w:top w:val="single" w:sz="8" w:color="0000EE"/>
            </w:tcBorders>
            <w:gridSpan w:val="17"/>
          </w:tcPr>
          <w:p>
            <w:pPr>
              <w:spacing w:after="0" w:line="195"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Statements of Cash Flows for the three months ended March 31, 2019 and 2018</w:t>
              </w:r>
            </w:hyperlink>
          </w:p>
        </w:tc>
        <w:tc>
          <w:tcPr>
            <w:tcW w:w="1220" w:type="dxa"/>
            <w:vAlign w:val="bottom"/>
            <w:gridSpan w:val="2"/>
          </w:tcPr>
          <w:p>
            <w:pPr>
              <w:spacing w:after="0"/>
              <w:rPr>
                <w:sz w:val="16"/>
                <w:szCs w:val="16"/>
                <w:color w:val="auto"/>
              </w:rPr>
            </w:pPr>
          </w:p>
        </w:tc>
        <w:tc>
          <w:tcPr>
            <w:tcW w:w="130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5"/>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tcBorders>
              <w:top w:val="single" w:sz="8" w:color="0000EE"/>
              <w:bottom w:val="single" w:sz="8" w:color="0000EE"/>
            </w:tcBorders>
            <w:gridSpan w:val="10"/>
          </w:tcPr>
          <w:p>
            <w:pPr>
              <w:spacing w:after="0" w:line="195"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Consolidated Financial Statements</w:t>
              </w:r>
            </w:hyperlink>
          </w:p>
        </w:tc>
        <w:tc>
          <w:tcPr>
            <w:tcW w:w="4360" w:type="dxa"/>
            <w:vAlign w:val="bottom"/>
            <w:tcBorders>
              <w:top w:val="single" w:sz="8" w:color="0000EE"/>
            </w:tcBorders>
            <w:gridSpan w:val="6"/>
          </w:tcPr>
          <w:p>
            <w:pPr>
              <w:spacing w:after="0"/>
              <w:rPr>
                <w:sz w:val="16"/>
                <w:szCs w:val="16"/>
                <w:color w:val="auto"/>
              </w:rPr>
            </w:pPr>
          </w:p>
        </w:tc>
        <w:tc>
          <w:tcPr>
            <w:tcW w:w="1800" w:type="dxa"/>
            <w:vAlign w:val="bottom"/>
            <w:gridSpan w:val="3"/>
          </w:tcPr>
          <w:p>
            <w:pPr>
              <w:spacing w:after="0"/>
              <w:rPr>
                <w:sz w:val="16"/>
                <w:szCs w:val="16"/>
                <w:color w:val="auto"/>
              </w:rPr>
            </w:pPr>
          </w:p>
        </w:tc>
        <w:tc>
          <w:tcPr>
            <w:tcW w:w="130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6660" w:type="dxa"/>
            <w:vAlign w:val="bottom"/>
            <w:tcBorders>
              <w:bottom w:val="single" w:sz="8" w:color="0000EE"/>
            </w:tcBorders>
            <w:gridSpan w:val="14"/>
          </w:tcPr>
          <w:p>
            <w:pPr>
              <w:spacing w:after="0"/>
              <w:rPr>
                <w:rFonts w:ascii="Times New Roman" w:cs="Times New Roman" w:eastAsia="Times New Roman" w:hAnsi="Times New Roman"/>
                <w:sz w:val="18"/>
                <w:szCs w:val="18"/>
                <w:b w:val="1"/>
                <w:bCs w:val="1"/>
                <w:i w:val="1"/>
                <w:iCs w:val="1"/>
                <w:color w:val="0000EE"/>
                <w:w w:val="99"/>
              </w:rPr>
            </w:pPr>
            <w:hyperlink w:anchor="page19">
              <w:r>
                <w:rPr>
                  <w:rFonts w:ascii="Times New Roman" w:cs="Times New Roman" w:eastAsia="Times New Roman" w:hAnsi="Times New Roman"/>
                  <w:sz w:val="18"/>
                  <w:szCs w:val="18"/>
                  <w:b w:val="1"/>
                  <w:bCs w:val="1"/>
                  <w:i w:val="1"/>
                  <w:iCs w:val="1"/>
                  <w:color w:val="0000EE"/>
                  <w:w w:val="99"/>
                </w:rPr>
                <w:t>Management's Discussion and Analysis of Financial Condition and Results of Operations</w:t>
              </w:r>
            </w:hyperlink>
          </w:p>
        </w:tc>
        <w:tc>
          <w:tcPr>
            <w:tcW w:w="2640" w:type="dxa"/>
            <w:vAlign w:val="bottom"/>
            <w:gridSpan w:val="5"/>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4460" w:type="dxa"/>
            <w:vAlign w:val="bottom"/>
            <w:tcBorders>
              <w:bottom w:val="single" w:sz="8" w:color="0000EE"/>
            </w:tcBorders>
            <w:gridSpan w:val="12"/>
          </w:tcPr>
          <w:p>
            <w:pPr>
              <w:spacing w:after="0"/>
              <w:rPr>
                <w:rFonts w:ascii="Times New Roman" w:cs="Times New Roman" w:eastAsia="Times New Roman" w:hAnsi="Times New Roman"/>
                <w:sz w:val="18"/>
                <w:szCs w:val="18"/>
                <w:b w:val="1"/>
                <w:bCs w:val="1"/>
                <w:i w:val="1"/>
                <w:iCs w:val="1"/>
                <w:color w:val="0000EE"/>
                <w:w w:val="99"/>
              </w:rPr>
            </w:pPr>
            <w:hyperlink w:anchor="page24">
              <w:r>
                <w:rPr>
                  <w:rFonts w:ascii="Times New Roman" w:cs="Times New Roman" w:eastAsia="Times New Roman" w:hAnsi="Times New Roman"/>
                  <w:sz w:val="18"/>
                  <w:szCs w:val="18"/>
                  <w:b w:val="1"/>
                  <w:bCs w:val="1"/>
                  <w:i w:val="1"/>
                  <w:iCs w:val="1"/>
                  <w:color w:val="0000EE"/>
                  <w:w w:val="99"/>
                </w:rPr>
                <w:t>Quantitative and Qualitative Disclosures About Market Risk</w:t>
              </w:r>
            </w:hyperlink>
          </w:p>
        </w:tc>
        <w:tc>
          <w:tcPr>
            <w:tcW w:w="4840" w:type="dxa"/>
            <w:vAlign w:val="bottom"/>
            <w:gridSpan w:val="7"/>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184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i w:val="1"/>
                <w:iCs w:val="1"/>
                <w:color w:val="0000EE"/>
                <w:w w:val="98"/>
              </w:rPr>
            </w:pPr>
            <w:hyperlink w:anchor="page24">
              <w:r>
                <w:rPr>
                  <w:rFonts w:ascii="Times New Roman" w:cs="Times New Roman" w:eastAsia="Times New Roman" w:hAnsi="Times New Roman"/>
                  <w:sz w:val="18"/>
                  <w:szCs w:val="18"/>
                  <w:b w:val="1"/>
                  <w:bCs w:val="1"/>
                  <w:i w:val="1"/>
                  <w:iCs w:val="1"/>
                  <w:color w:val="0000EE"/>
                  <w:w w:val="98"/>
                </w:rPr>
                <w:t>Controls and Procedures</w:t>
              </w:r>
            </w:hyperlink>
          </w:p>
        </w:tc>
        <w:tc>
          <w:tcPr>
            <w:tcW w:w="7460" w:type="dxa"/>
            <w:vAlign w:val="bottom"/>
            <w:gridSpan w:val="12"/>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19"/>
          </w:tcPr>
          <w:p>
            <w:pPr>
              <w:spacing w:after="0"/>
              <w:rPr>
                <w:rFonts w:ascii="Times New Roman" w:cs="Times New Roman" w:eastAsia="Times New Roman" w:hAnsi="Times New Roman"/>
                <w:sz w:val="18"/>
                <w:szCs w:val="18"/>
                <w:b w:val="1"/>
                <w:bCs w:val="1"/>
                <w:color w:val="0000EE"/>
              </w:rPr>
            </w:pPr>
            <w:hyperlink w:anchor="page24">
              <w:r>
                <w:rPr>
                  <w:rFonts w:ascii="Times New Roman" w:cs="Times New Roman" w:eastAsia="Times New Roman" w:hAnsi="Times New Roman"/>
                  <w:sz w:val="18"/>
                  <w:szCs w:val="18"/>
                  <w:b w:val="1"/>
                  <w:bCs w:val="1"/>
                  <w:color w:val="0000EE"/>
                </w:rPr>
                <w:t>OTHER INFORMATION</w:t>
              </w:r>
            </w:hyperlink>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2000" w:type="dxa"/>
            <w:vAlign w:val="bottom"/>
            <w:tcBorders>
              <w:top w:val="single" w:sz="8" w:color="0000EE"/>
            </w:tcBorders>
            <w:gridSpan w:val="8"/>
          </w:tcPr>
          <w:p>
            <w:pPr>
              <w:spacing w:after="0"/>
              <w:rPr>
                <w:rFonts w:ascii="Times New Roman" w:cs="Times New Roman" w:eastAsia="Times New Roman" w:hAnsi="Times New Roman"/>
                <w:sz w:val="18"/>
                <w:szCs w:val="18"/>
                <w:b w:val="1"/>
                <w:bCs w:val="1"/>
                <w:i w:val="1"/>
                <w:iCs w:val="1"/>
                <w:color w:val="0000EE"/>
              </w:rPr>
            </w:pPr>
            <w:hyperlink w:anchor="page24">
              <w:r>
                <w:rPr>
                  <w:rFonts w:ascii="Times New Roman" w:cs="Times New Roman" w:eastAsia="Times New Roman" w:hAnsi="Times New Roman"/>
                  <w:sz w:val="18"/>
                  <w:szCs w:val="18"/>
                  <w:b w:val="1"/>
                  <w:bCs w:val="1"/>
                  <w:i w:val="1"/>
                  <w:iCs w:val="1"/>
                  <w:color w:val="0000EE"/>
                </w:rPr>
                <w:t>Legal Proceedings</w:t>
              </w:r>
            </w:hyperlink>
          </w:p>
        </w:tc>
        <w:tc>
          <w:tcPr>
            <w:tcW w:w="7300" w:type="dxa"/>
            <w:vAlign w:val="bottom"/>
            <w:gridSpan w:val="11"/>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1A.</w:t>
            </w:r>
          </w:p>
        </w:tc>
        <w:tc>
          <w:tcPr>
            <w:tcW w:w="9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b w:val="1"/>
                <w:bCs w:val="1"/>
                <w:i w:val="1"/>
                <w:iCs w:val="1"/>
                <w:color w:val="0000EE"/>
                <w:w w:val="97"/>
              </w:rPr>
            </w:pPr>
            <w:hyperlink w:anchor="page24">
              <w:r>
                <w:rPr>
                  <w:rFonts w:ascii="Times New Roman" w:cs="Times New Roman" w:eastAsia="Times New Roman" w:hAnsi="Times New Roman"/>
                  <w:sz w:val="18"/>
                  <w:szCs w:val="18"/>
                  <w:b w:val="1"/>
                  <w:bCs w:val="1"/>
                  <w:i w:val="1"/>
                  <w:iCs w:val="1"/>
                  <w:color w:val="0000EE"/>
                  <w:w w:val="97"/>
                </w:rPr>
                <w:t>Risk Factors</w:t>
              </w:r>
            </w:hyperlink>
          </w:p>
        </w:tc>
        <w:tc>
          <w:tcPr>
            <w:tcW w:w="420" w:type="dxa"/>
            <w:vAlign w:val="bottom"/>
            <w:tcBorders>
              <w:top w:val="single" w:sz="8" w:color="0000EE"/>
            </w:tcBorders>
          </w:tcPr>
          <w:p>
            <w:pPr>
              <w:spacing w:after="0"/>
              <w:rPr>
                <w:sz w:val="24"/>
                <w:szCs w:val="24"/>
                <w:color w:val="auto"/>
              </w:rPr>
            </w:pPr>
          </w:p>
        </w:tc>
        <w:tc>
          <w:tcPr>
            <w:tcW w:w="7940" w:type="dxa"/>
            <w:vAlign w:val="bottom"/>
            <w:gridSpan w:val="16"/>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444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i w:val="1"/>
                <w:iCs w:val="1"/>
                <w:color w:val="0000EE"/>
                <w:w w:val="99"/>
              </w:rPr>
            </w:pPr>
            <w:hyperlink w:anchor="page24">
              <w:r>
                <w:rPr>
                  <w:rFonts w:ascii="Times New Roman" w:cs="Times New Roman" w:eastAsia="Times New Roman" w:hAnsi="Times New Roman"/>
                  <w:sz w:val="18"/>
                  <w:szCs w:val="18"/>
                  <w:b w:val="1"/>
                  <w:bCs w:val="1"/>
                  <w:i w:val="1"/>
                  <w:iCs w:val="1"/>
                  <w:color w:val="0000EE"/>
                  <w:w w:val="99"/>
                </w:rPr>
                <w:t>Unregistered Sales of Equity Securities and Use of Proceeds</w:t>
              </w:r>
            </w:hyperlink>
          </w:p>
        </w:tc>
        <w:tc>
          <w:tcPr>
            <w:tcW w:w="4860" w:type="dxa"/>
            <w:vAlign w:val="bottom"/>
            <w:gridSpan w:val="8"/>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9300" w:type="dxa"/>
            <w:vAlign w:val="bottom"/>
            <w:gridSpan w:val="19"/>
          </w:tcPr>
          <w:p>
            <w:pPr>
              <w:spacing w:after="0"/>
              <w:rPr>
                <w:rFonts w:ascii="Times New Roman" w:cs="Times New Roman" w:eastAsia="Times New Roman" w:hAnsi="Times New Roman"/>
                <w:sz w:val="18"/>
                <w:szCs w:val="18"/>
                <w:b w:val="1"/>
                <w:bCs w:val="1"/>
                <w:i w:val="1"/>
                <w:iCs w:val="1"/>
                <w:color w:val="0000EE"/>
              </w:rPr>
            </w:pPr>
            <w:hyperlink w:anchor="page24">
              <w:r>
                <w:rPr>
                  <w:rFonts w:ascii="Times New Roman" w:cs="Times New Roman" w:eastAsia="Times New Roman" w:hAnsi="Times New Roman"/>
                  <w:sz w:val="18"/>
                  <w:szCs w:val="18"/>
                  <w:b w:val="1"/>
                  <w:bCs w:val="1"/>
                  <w:i w:val="1"/>
                  <w:iCs w:val="1"/>
                  <w:color w:val="0000EE"/>
                </w:rPr>
                <w:t>Defaults Upon Senior Securities</w:t>
              </w:r>
            </w:hyperlink>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2380" w:type="dxa"/>
            <w:vAlign w:val="bottom"/>
            <w:tcBorders>
              <w:top w:val="single" w:sz="8" w:color="0000EE"/>
            </w:tcBorders>
            <w:gridSpan w:val="9"/>
          </w:tcPr>
          <w:p>
            <w:pPr>
              <w:spacing w:after="0"/>
              <w:rPr>
                <w:rFonts w:ascii="Times New Roman" w:cs="Times New Roman" w:eastAsia="Times New Roman" w:hAnsi="Times New Roman"/>
                <w:sz w:val="18"/>
                <w:szCs w:val="18"/>
                <w:b w:val="1"/>
                <w:bCs w:val="1"/>
                <w:i w:val="1"/>
                <w:iCs w:val="1"/>
                <w:color w:val="0000EE"/>
              </w:rPr>
            </w:pPr>
            <w:hyperlink w:anchor="page25">
              <w:r>
                <w:rPr>
                  <w:rFonts w:ascii="Times New Roman" w:cs="Times New Roman" w:eastAsia="Times New Roman" w:hAnsi="Times New Roman"/>
                  <w:sz w:val="18"/>
                  <w:szCs w:val="18"/>
                  <w:b w:val="1"/>
                  <w:bCs w:val="1"/>
                  <w:i w:val="1"/>
                  <w:iCs w:val="1"/>
                  <w:color w:val="0000EE"/>
                </w:rPr>
                <w:t>Mine Safety Disclosures</w:t>
              </w:r>
            </w:hyperlink>
          </w:p>
        </w:tc>
        <w:tc>
          <w:tcPr>
            <w:tcW w:w="6920" w:type="dxa"/>
            <w:vAlign w:val="bottom"/>
            <w:gridSpan w:val="10"/>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5.</w:t>
            </w:r>
          </w:p>
        </w:tc>
        <w:tc>
          <w:tcPr>
            <w:tcW w:w="13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b w:val="1"/>
                <w:bCs w:val="1"/>
                <w:i w:val="1"/>
                <w:iCs w:val="1"/>
                <w:color w:val="0000EE"/>
                <w:w w:val="98"/>
              </w:rPr>
            </w:pPr>
            <w:hyperlink w:anchor="page25">
              <w:r>
                <w:rPr>
                  <w:rFonts w:ascii="Times New Roman" w:cs="Times New Roman" w:eastAsia="Times New Roman" w:hAnsi="Times New Roman"/>
                  <w:sz w:val="18"/>
                  <w:szCs w:val="18"/>
                  <w:b w:val="1"/>
                  <w:bCs w:val="1"/>
                  <w:i w:val="1"/>
                  <w:iCs w:val="1"/>
                  <w:color w:val="0000EE"/>
                  <w:w w:val="98"/>
                </w:rPr>
                <w:t>Other Information</w:t>
              </w:r>
            </w:hyperlink>
          </w:p>
        </w:tc>
        <w:tc>
          <w:tcPr>
            <w:tcW w:w="400" w:type="dxa"/>
            <w:vAlign w:val="bottom"/>
            <w:tcBorders>
              <w:top w:val="single" w:sz="8" w:color="0000EE"/>
            </w:tcBorders>
            <w:gridSpan w:val="2"/>
          </w:tcPr>
          <w:p>
            <w:pPr>
              <w:spacing w:after="0"/>
              <w:rPr>
                <w:sz w:val="24"/>
                <w:szCs w:val="24"/>
                <w:color w:val="auto"/>
              </w:rPr>
            </w:pPr>
          </w:p>
        </w:tc>
        <w:tc>
          <w:tcPr>
            <w:tcW w:w="7520" w:type="dxa"/>
            <w:vAlign w:val="bottom"/>
            <w:gridSpan w:val="13"/>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6.</w:t>
            </w:r>
          </w:p>
        </w:tc>
        <w:tc>
          <w:tcPr>
            <w:tcW w:w="9300" w:type="dxa"/>
            <w:vAlign w:val="bottom"/>
            <w:gridSpan w:val="19"/>
          </w:tcPr>
          <w:p>
            <w:pPr>
              <w:spacing w:after="0"/>
              <w:rPr>
                <w:rFonts w:ascii="Times New Roman" w:cs="Times New Roman" w:eastAsia="Times New Roman" w:hAnsi="Times New Roman"/>
                <w:sz w:val="18"/>
                <w:szCs w:val="18"/>
                <w:b w:val="1"/>
                <w:bCs w:val="1"/>
                <w:i w:val="1"/>
                <w:iCs w:val="1"/>
                <w:color w:val="0000EE"/>
              </w:rPr>
            </w:pPr>
            <w:hyperlink w:anchor="page25">
              <w:r>
                <w:rPr>
                  <w:rFonts w:ascii="Times New Roman" w:cs="Times New Roman" w:eastAsia="Times New Roman" w:hAnsi="Times New Roman"/>
                  <w:sz w:val="18"/>
                  <w:szCs w:val="18"/>
                  <w:b w:val="1"/>
                  <w:bCs w:val="1"/>
                  <w:i w:val="1"/>
                  <w:iCs w:val="1"/>
                  <w:color w:val="0000EE"/>
                </w:rPr>
                <w:t>Exhibits</w:t>
              </w:r>
            </w:hyperlink>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1"/>
        </w:trPr>
        <w:tc>
          <w:tcPr>
            <w:tcW w:w="820" w:type="dxa"/>
            <w:vAlign w:val="bottom"/>
            <w:gridSpan w:val="2"/>
          </w:tcPr>
          <w:p>
            <w:pPr>
              <w:spacing w:after="0"/>
              <w:rPr>
                <w:rFonts w:ascii="Times New Roman" w:cs="Times New Roman" w:eastAsia="Times New Roman" w:hAnsi="Times New Roman"/>
                <w:sz w:val="18"/>
                <w:szCs w:val="18"/>
                <w:b w:val="1"/>
                <w:bCs w:val="1"/>
                <w:i w:val="1"/>
                <w:iCs w:val="1"/>
                <w:color w:val="0000EE"/>
                <w:w w:val="99"/>
              </w:rPr>
            </w:pPr>
            <w:hyperlink w:anchor="page26">
              <w:r>
                <w:rPr>
                  <w:rFonts w:ascii="Times New Roman" w:cs="Times New Roman" w:eastAsia="Times New Roman" w:hAnsi="Times New Roman"/>
                  <w:sz w:val="18"/>
                  <w:szCs w:val="18"/>
                  <w:b w:val="1"/>
                  <w:bCs w:val="1"/>
                  <w:i w:val="1"/>
                  <w:iCs w:val="1"/>
                  <w:color w:val="0000EE"/>
                  <w:w w:val="99"/>
                </w:rPr>
                <w:t>Signatures</w:t>
              </w:r>
            </w:hyperlink>
          </w:p>
        </w:tc>
        <w:tc>
          <w:tcPr>
            <w:tcW w:w="6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593"/>
        </w:trPr>
        <w:tc>
          <w:tcPr>
            <w:tcW w:w="8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$233 and $233, respectively</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(4,950)</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certificates of deposit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61,442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67,187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Earnout payable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 for repayment of state and local grant funds received</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24,307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or outstanding</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$0.01 par value; 20,000,000 shares authorized; 10,603,335 and 10,523,035 shares issued,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33,077 shares</w:t>
            </w:r>
          </w:p>
        </w:tc>
        <w:tc>
          <w:tcPr>
            <w:tcW w:w="20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61,442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18,062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expense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to contingent consideration liability</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0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common share - basic</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10,385,017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10,326,309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common share - diluted</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and common share equivalents outstanding - diluted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10,414,330</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10,365,306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04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060" w:type="dxa"/>
            <w:vAlign w:val="bottom"/>
            <w:gridSpan w:val="2"/>
          </w:tcPr>
          <w:p>
            <w:pPr>
              <w:jc w:val="right"/>
              <w:ind w:right="215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7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earnings</w:t>
            </w: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20" w:type="dxa"/>
            <w:vAlign w:val="bottom"/>
          </w:tcPr>
          <w:p>
            <w:pPr>
              <w:spacing w:after="0"/>
              <w:rPr>
                <w:sz w:val="18"/>
                <w:szCs w:val="18"/>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0"/>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14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14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10,523,035</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42,880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10,603,335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26,695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0"/>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10,427,435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12,646</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79,200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10,506,635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13,027</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840" w:type="dxa"/>
            <w:vAlign w:val="bottom"/>
            <w:gridSpan w:val="17"/>
          </w:tcPr>
          <w:p>
            <w:pPr>
              <w:jc w:val="center"/>
              <w:ind w:left="30"/>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6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 of earnout for 2018 related to Ambrell acquisition</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(10,048)</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 to earnout payable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Adjustment to contingent consideration liability</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exchange gain</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deferred compensation related to stock-based awards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sale of demonstration equipment, net of gain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w:t>
            </w: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(1,192)</w:t>
            </w: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(9,475)</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rates on cash</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all activities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(9,670)</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for:</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and foreign income taxes</w:t>
            </w:r>
          </w:p>
        </w:tc>
        <w:tc>
          <w:tcPr>
            <w:tcW w:w="6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7" w:lineRule="exact"/>
        <w:rPr>
          <w:rFonts w:ascii="Times New Roman" w:cs="Times New Roman" w:eastAsia="Times New Roman" w:hAnsi="Times New Roman"/>
          <w:sz w:val="18"/>
          <w:szCs w:val="18"/>
          <w:b w:val="1"/>
          <w:bCs w:val="1"/>
          <w:color w:val="auto"/>
        </w:rPr>
      </w:pPr>
    </w:p>
    <w:p>
      <w:pPr>
        <w:ind w:left="98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We are a global supplier of precision-engineered thermal, mechanical and electronic solutions for use in manufacturing and testing. Our products are used by semiconductor manufacturers to perform development, qualifying and final testing of integrated circuits (“ICs”) and wafers, and for other electronic testing across a range of markets including the automotive, defense/aerospace, energy, industrial and telecommunications markets. We also offer induction heating products for joining and forming metals in a variety of industrial markets, including automotive, aerospace, machinery, wire &amp; fasteners, medical, semiconductor, food &amp; beverage, and packaging. We manufacture our products in the U.S. Marketing and support activities are conducted worldwide from our facilities in the U.S., Germany, Singapore, the Netherlands and the U.K. The consolidated entity is comprised of inTEST Corporation and our wholly owned subsidiaries. We have two reportable segments, which are also our reporting units, Thermal Products ("Thermal") and Electromechanical Semiconductor Products ("EMS").</w:t>
      </w:r>
    </w:p>
    <w:p>
      <w:pPr>
        <w:spacing w:after="0" w:line="172" w:lineRule="exact"/>
        <w:rPr>
          <w:rFonts w:ascii="Times New Roman" w:cs="Times New Roman" w:eastAsia="Times New Roman" w:hAnsi="Times New Roman"/>
          <w:sz w:val="18"/>
          <w:szCs w:val="18"/>
          <w:b w:val="1"/>
          <w:bCs w:val="1"/>
          <w:color w:val="auto"/>
        </w:rPr>
      </w:pPr>
    </w:p>
    <w:p>
      <w:pPr>
        <w:ind w:left="98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automated test equipment ("ATE") market, which is the principal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ATE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200" w:lineRule="exact"/>
        <w:rPr>
          <w:rFonts w:ascii="Times New Roman" w:cs="Times New Roman" w:eastAsia="Times New Roman" w:hAnsi="Times New Roman"/>
          <w:sz w:val="18"/>
          <w:szCs w:val="18"/>
          <w:b w:val="1"/>
          <w:bCs w:val="1"/>
          <w:color w:val="auto"/>
        </w:rPr>
      </w:pPr>
    </w:p>
    <w:p>
      <w:pPr>
        <w:spacing w:after="0" w:line="231" w:lineRule="exact"/>
        <w:rPr>
          <w:rFonts w:ascii="Times New Roman" w:cs="Times New Roman" w:eastAsia="Times New Roman" w:hAnsi="Times New Roman"/>
          <w:sz w:val="18"/>
          <w:szCs w:val="18"/>
          <w:b w:val="1"/>
          <w:bCs w:val="1"/>
          <w:color w:val="auto"/>
        </w:rPr>
      </w:pPr>
    </w:p>
    <w:p>
      <w:pPr>
        <w:ind w:left="980" w:right="5720" w:hanging="972"/>
        <w:spacing w:after="0" w:line="501" w:lineRule="auto"/>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u w:val="single" w:color="auto"/>
          <w:color w:val="auto"/>
        </w:rPr>
        <w:t>Basis of Presentation and Use of Estimates</w:t>
      </w:r>
    </w:p>
    <w:p>
      <w:pPr>
        <w:spacing w:after="0" w:line="1" w:lineRule="exact"/>
        <w:rPr>
          <w:rFonts w:ascii="Times New Roman" w:cs="Times New Roman" w:eastAsia="Times New Roman" w:hAnsi="Times New Roman"/>
          <w:sz w:val="18"/>
          <w:szCs w:val="18"/>
          <w:b w:val="1"/>
          <w:bCs w:val="1"/>
          <w:color w:val="auto"/>
        </w:rPr>
      </w:pPr>
    </w:p>
    <w:p>
      <w:pPr>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and deferred tax assets and liabilities including related valuation allowances, are particularly impacted by estimates.</w:t>
      </w:r>
    </w:p>
    <w:p>
      <w:pPr>
        <w:spacing w:after="0" w:line="189" w:lineRule="exact"/>
        <w:rPr>
          <w:rFonts w:ascii="Times New Roman" w:cs="Times New Roman" w:eastAsia="Times New Roman" w:hAnsi="Times New Roman"/>
          <w:sz w:val="18"/>
          <w:szCs w:val="18"/>
          <w:b w:val="1"/>
          <w:bCs w:val="1"/>
          <w:color w:val="auto"/>
        </w:rPr>
      </w:pPr>
    </w:p>
    <w:p>
      <w:pPr>
        <w:ind w:left="98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2018 (“2018 Form 10-K”) filed on March 26, 2019 with the Securities and Exchange Commission.</w:t>
      </w:r>
    </w:p>
    <w:p>
      <w:pPr>
        <w:spacing w:after="0" w:line="18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Reclassification</w:t>
      </w:r>
    </w:p>
    <w:p>
      <w:pPr>
        <w:spacing w:after="0" w:line="22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prior period amounts have been reclassified to be comparable with the current period's presentation.</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Combinations</w:t>
      </w:r>
    </w:p>
    <w:p>
      <w:pPr>
        <w:spacing w:after="0" w:line="228" w:lineRule="exact"/>
        <w:rPr>
          <w:sz w:val="20"/>
          <w:szCs w:val="20"/>
          <w:color w:val="auto"/>
        </w:rPr>
      </w:pPr>
    </w:p>
    <w:p>
      <w:pPr>
        <w:ind w:left="980" w:right="40"/>
        <w:spacing w:after="0" w:line="253" w:lineRule="auto"/>
        <w:rPr>
          <w:sz w:val="20"/>
          <w:szCs w:val="20"/>
          <w:color w:val="auto"/>
        </w:rPr>
      </w:pPr>
      <w:r>
        <w:rPr>
          <w:rFonts w:ascii="Times New Roman" w:cs="Times New Roman" w:eastAsia="Times New Roman" w:hAnsi="Times New Roman"/>
          <w:sz w:val="18"/>
          <w:szCs w:val="18"/>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 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Intangible and Long-Lived Assets</w:t>
      </w:r>
    </w:p>
    <w:p>
      <w:pPr>
        <w:spacing w:after="0" w:line="228" w:lineRule="exact"/>
        <w:rPr>
          <w:sz w:val="20"/>
          <w:szCs w:val="20"/>
          <w:color w:val="auto"/>
        </w:rPr>
      </w:pPr>
    </w:p>
    <w:p>
      <w:pPr>
        <w:ind w:left="980" w:right="40"/>
        <w:spacing w:after="0" w:line="252" w:lineRule="auto"/>
        <w:rPr>
          <w:sz w:val="20"/>
          <w:szCs w:val="20"/>
          <w:color w:val="auto"/>
        </w:rPr>
      </w:pPr>
      <w:r>
        <w:rPr>
          <w:rFonts w:ascii="Times New Roman" w:cs="Times New Roman" w:eastAsia="Times New Roman" w:hAnsi="Times New Roman"/>
          <w:sz w:val="18"/>
          <w:szCs w:val="18"/>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93" w:lineRule="exact"/>
        <w:rPr>
          <w:sz w:val="20"/>
          <w:szCs w:val="20"/>
          <w:color w:val="auto"/>
        </w:rPr>
      </w:pPr>
    </w:p>
    <w:p>
      <w:pPr>
        <w:ind w:left="980" w:right="40"/>
        <w:spacing w:after="0" w:line="252" w:lineRule="auto"/>
        <w:rPr>
          <w:sz w:val="20"/>
          <w:szCs w:val="20"/>
          <w:color w:val="auto"/>
        </w:rPr>
      </w:pPr>
      <w:r>
        <w:rPr>
          <w:rFonts w:ascii="Times New Roman" w:cs="Times New Roman" w:eastAsia="Times New Roman" w:hAnsi="Times New Roman"/>
          <w:sz w:val="18"/>
          <w:szCs w:val="18"/>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93"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9" w:lineRule="exact"/>
        <w:rPr>
          <w:sz w:val="20"/>
          <w:szCs w:val="20"/>
          <w:color w:val="auto"/>
        </w:rPr>
      </w:pPr>
    </w:p>
    <w:p>
      <w:pPr>
        <w:ind w:left="980" w:right="160"/>
        <w:spacing w:after="0" w:line="257" w:lineRule="auto"/>
        <w:rPr>
          <w:sz w:val="20"/>
          <w:szCs w:val="20"/>
          <w:color w:val="auto"/>
        </w:rPr>
      </w:pPr>
      <w:r>
        <w:rPr>
          <w:rFonts w:ascii="Times New Roman" w:cs="Times New Roman" w:eastAsia="Times New Roman" w:hAnsi="Times New Roman"/>
          <w:sz w:val="18"/>
          <w:szCs w:val="18"/>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228" w:lineRule="exact"/>
        <w:rPr>
          <w:sz w:val="20"/>
          <w:szCs w:val="20"/>
          <w:color w:val="auto"/>
        </w:rPr>
      </w:pPr>
    </w:p>
    <w:p>
      <w:pPr>
        <w:ind w:left="980" w:right="100"/>
        <w:spacing w:after="0" w:line="254" w:lineRule="auto"/>
        <w:rPr>
          <w:sz w:val="20"/>
          <w:szCs w:val="20"/>
          <w:color w:val="auto"/>
        </w:rPr>
      </w:pPr>
      <w:r>
        <w:rPr>
          <w:rFonts w:ascii="Times New Roman" w:cs="Times New Roman" w:eastAsia="Times New Roman" w:hAnsi="Times New Roman"/>
          <w:sz w:val="18"/>
          <w:szCs w:val="18"/>
          <w:color w:val="auto"/>
        </w:rPr>
        <w:t>We recognize revenue in accordance with the guidance in ASC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under short-term lease agreements. We recognize revenue from equipment leases on a straight-line basis over the lease term.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980" w:right="40"/>
        <w:spacing w:after="0" w:line="260" w:lineRule="auto"/>
        <w:rPr>
          <w:sz w:val="20"/>
          <w:szCs w:val="20"/>
          <w:color w:val="auto"/>
        </w:rPr>
      </w:pPr>
      <w:r>
        <w:rPr>
          <w:rFonts w:ascii="Times New Roman" w:cs="Times New Roman" w:eastAsia="Times New Roman" w:hAnsi="Times New Roman"/>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net 30 or net 60 day payment terms. We generally do not provide a right of return to our customers. Revenue is recognized net of any taxes collected from customers, which are subsequently remitted to governmental authorities.</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9" w:lineRule="exact"/>
        <w:rPr>
          <w:sz w:val="20"/>
          <w:szCs w:val="20"/>
          <w:color w:val="auto"/>
        </w:rPr>
      </w:pPr>
    </w:p>
    <w:p>
      <w:pPr>
        <w:ind w:left="980" w:right="20"/>
        <w:spacing w:after="0" w:line="251" w:lineRule="auto"/>
        <w:rPr>
          <w:sz w:val="20"/>
          <w:szCs w:val="20"/>
          <w:color w:val="auto"/>
        </w:rPr>
      </w:pPr>
      <w:r>
        <w:rPr>
          <w:rFonts w:ascii="Times New Roman" w:cs="Times New Roman" w:eastAsia="Times New Roman" w:hAnsi="Times New Roman"/>
          <w:sz w:val="18"/>
          <w:szCs w:val="18"/>
          <w:color w:val="auto"/>
        </w:rPr>
        <w:t>We sell thermal management products and semiconductor ATE interface solutions. Our thermal management products include ThermoStreams, ThermoChambers and process chillers, which we sell under our Temptronic, Sigma and Thermonics product lines, and Ambrell’s precision induction heating systems, including EkoHeat and EasyHeat products. Our semiconductor ATE interface solutions include manipulators, docking hardware and electrical interface products. We provide post-warranty service for the equipment we sell. We sell semiconductor ATE interface solutions and certain thermal management products to the ATE market, which provides automated test equipment to the semiconductor market. We also sell our thermal management products to markets outside the semiconductor market which include the automotive, defense/aerospace, industrial, telecommunications and other markets.</w:t>
      </w:r>
    </w:p>
    <w:p>
      <w:pPr>
        <w:spacing w:after="0" w:line="189" w:lineRule="exact"/>
        <w:rPr>
          <w:sz w:val="20"/>
          <w:szCs w:val="20"/>
          <w:color w:val="auto"/>
        </w:rPr>
      </w:pPr>
    </w:p>
    <w:p>
      <w:pPr>
        <w:ind w:left="980" w:right="140"/>
        <w:spacing w:after="0" w:line="280" w:lineRule="auto"/>
        <w:rPr>
          <w:sz w:val="20"/>
          <w:szCs w:val="20"/>
          <w:color w:val="auto"/>
        </w:rPr>
      </w:pPr>
      <w:r>
        <w:rPr>
          <w:rFonts w:ascii="Times New Roman" w:cs="Times New Roman" w:eastAsia="Times New Roman" w:hAnsi="Times New Roman"/>
          <w:sz w:val="18"/>
          <w:szCs w:val="18"/>
          <w:color w:val="auto"/>
        </w:rPr>
        <w:t>We lease certain of our equipment under short-term leasing agreements with original lease terms of six months or less. Our lease agreements do not contain purchase options.</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Types of Contracts with Customers</w:t>
      </w:r>
    </w:p>
    <w:p>
      <w:pPr>
        <w:spacing w:after="0" w:line="29" w:lineRule="exact"/>
        <w:rPr>
          <w:sz w:val="20"/>
          <w:szCs w:val="20"/>
          <w:color w:val="auto"/>
        </w:rPr>
      </w:pPr>
    </w:p>
    <w:p>
      <w:pPr>
        <w:ind w:left="980"/>
        <w:spacing w:after="0" w:line="270" w:lineRule="auto"/>
        <w:rPr>
          <w:sz w:val="20"/>
          <w:szCs w:val="20"/>
          <w:color w:val="auto"/>
        </w:rPr>
      </w:pPr>
      <w:r>
        <w:rPr>
          <w:rFonts w:ascii="Times New Roman" w:cs="Times New Roman" w:eastAsia="Times New Roman" w:hAnsi="Times New Roman"/>
          <w:sz w:val="17"/>
          <w:szCs w:val="17"/>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9" w:lineRule="exact"/>
        <w:rPr>
          <w:sz w:val="20"/>
          <w:szCs w:val="20"/>
          <w:color w:val="auto"/>
        </w:rPr>
      </w:pPr>
    </w:p>
    <w:p>
      <w:pPr>
        <w:ind w:left="980" w:right="120"/>
        <w:spacing w:after="0" w:line="252" w:lineRule="auto"/>
        <w:rPr>
          <w:sz w:val="20"/>
          <w:szCs w:val="20"/>
          <w:color w:val="auto"/>
        </w:rPr>
      </w:pPr>
      <w:r>
        <w:rPr>
          <w:rFonts w:ascii="Times New Roman" w:cs="Times New Roman" w:eastAsia="Times New Roman" w:hAnsi="Times New Roman"/>
          <w:sz w:val="18"/>
          <w:szCs w:val="18"/>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89" w:lineRule="exact"/>
        <w:rPr>
          <w:sz w:val="20"/>
          <w:szCs w:val="20"/>
          <w:color w:val="auto"/>
        </w:rPr>
      </w:pPr>
    </w:p>
    <w:p>
      <w:pPr>
        <w:ind w:left="980" w:right="160"/>
        <w:spacing w:after="0" w:line="280" w:lineRule="auto"/>
        <w:rPr>
          <w:sz w:val="20"/>
          <w:szCs w:val="20"/>
          <w:color w:val="auto"/>
        </w:rPr>
      </w:pPr>
      <w:r>
        <w:rPr>
          <w:rFonts w:ascii="Times New Roman" w:cs="Times New Roman" w:eastAsia="Times New Roman" w:hAnsi="Times New Roman"/>
          <w:sz w:val="18"/>
          <w:szCs w:val="18"/>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9" w:lineRule="exact"/>
        <w:rPr>
          <w:sz w:val="20"/>
          <w:szCs w:val="20"/>
          <w:color w:val="auto"/>
        </w:rPr>
      </w:pPr>
    </w:p>
    <w:p>
      <w:pPr>
        <w:ind w:left="980" w:right="140"/>
        <w:spacing w:after="0" w:line="251" w:lineRule="auto"/>
        <w:rPr>
          <w:sz w:val="20"/>
          <w:szCs w:val="20"/>
          <w:color w:val="auto"/>
        </w:rPr>
      </w:pPr>
      <w:r>
        <w:rPr>
          <w:rFonts w:ascii="Times New Roman" w:cs="Times New Roman" w:eastAsia="Times New Roman" w:hAnsi="Times New Roman"/>
          <w:sz w:val="18"/>
          <w:szCs w:val="18"/>
          <w:color w:val="auto"/>
        </w:rPr>
        <w:t>The only costs we incur associated with obtaining contracts with customers are sales commissions that we pay to our internal sales personnel or third-party sales representatives. These costs are calculated based on an established percentage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9" w:lineRule="exact"/>
        <w:rPr>
          <w:sz w:val="20"/>
          <w:szCs w:val="20"/>
          <w:color w:val="auto"/>
        </w:rPr>
      </w:pPr>
    </w:p>
    <w:p>
      <w:pPr>
        <w:ind w:left="980"/>
        <w:spacing w:after="0" w:line="251" w:lineRule="auto"/>
        <w:rPr>
          <w:sz w:val="20"/>
          <w:szCs w:val="20"/>
          <w:color w:val="auto"/>
        </w:rPr>
      </w:pPr>
      <w:r>
        <w:rPr>
          <w:rFonts w:ascii="Times New Roman" w:cs="Times New Roman" w:eastAsia="Times New Roman" w:hAnsi="Times New Roman"/>
          <w:sz w:val="18"/>
          <w:szCs w:val="18"/>
          <w:color w:val="auto"/>
        </w:rPr>
        <w:t>In connection with the sale of our products, we generally provide standard one or two 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 to Notes 4 and 11 for further information about our revenue from contracts with customers.</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228" w:lineRule="exact"/>
        <w:rPr>
          <w:sz w:val="20"/>
          <w:szCs w:val="20"/>
          <w:color w:val="auto"/>
        </w:rPr>
      </w:pPr>
    </w:p>
    <w:p>
      <w:pPr>
        <w:ind w:left="980" w:right="60"/>
        <w:spacing w:after="0" w:line="254" w:lineRule="auto"/>
        <w:rPr>
          <w:sz w:val="20"/>
          <w:szCs w:val="20"/>
          <w:color w:val="auto"/>
        </w:rPr>
      </w:pPr>
      <w:r>
        <w:rPr>
          <w:rFonts w:ascii="Times New Roman" w:cs="Times New Roman" w:eastAsia="Times New Roman" w:hAnsi="Times New Roman"/>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$107 and $61 for the three months ended March 31, 2019 and 2018, respectively.</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31" w:lineRule="exact"/>
        <w:rPr>
          <w:sz w:val="20"/>
          <w:szCs w:val="20"/>
          <w:color w:val="auto"/>
        </w:rPr>
      </w:pPr>
    </w:p>
    <w:p>
      <w:pPr>
        <w:ind w:left="980" w:right="20"/>
        <w:spacing w:after="0" w:line="250" w:lineRule="auto"/>
        <w:rPr>
          <w:sz w:val="20"/>
          <w:szCs w:val="20"/>
          <w:color w:val="auto"/>
        </w:rPr>
      </w:pPr>
      <w:r>
        <w:rPr>
          <w:rFonts w:ascii="Times New Roman" w:cs="Times New Roman" w:eastAsia="Times New Roman" w:hAnsi="Times New Roman"/>
          <w:sz w:val="18"/>
          <w:szCs w:val="18"/>
          <w:color w:val="auto"/>
        </w:rPr>
        <w:t>We account for leases in accordance with ASC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842. Operating leases are included in operating lease right-of-use (“ROU”) assets and operating lease liabilities in our consolidated balance sheets. Finance leases are included in property and equipment and financing lease liabilities. We do not currently have any financing leases.</w:t>
      </w:r>
    </w:p>
    <w:p>
      <w:pPr>
        <w:spacing w:after="0" w:line="194"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right-of-use asset and lease liability are calculated including any rent holiday in the determination of the life of the lease.</w:t>
      </w:r>
    </w:p>
    <w:p>
      <w:pPr>
        <w:spacing w:after="0" w:line="187" w:lineRule="exact"/>
        <w:rPr>
          <w:sz w:val="20"/>
          <w:szCs w:val="20"/>
          <w:color w:val="auto"/>
        </w:rPr>
      </w:pPr>
    </w:p>
    <w:p>
      <w:pPr>
        <w:ind w:left="980" w:right="120"/>
        <w:spacing w:after="0" w:line="257" w:lineRule="auto"/>
        <w:rPr>
          <w:sz w:val="20"/>
          <w:szCs w:val="20"/>
          <w:color w:val="auto"/>
        </w:rPr>
      </w:pPr>
      <w:r>
        <w:rPr>
          <w:rFonts w:ascii="Times New Roman" w:cs="Times New Roman" w:eastAsia="Times New Roman" w:hAnsi="Times New Roman"/>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4" w:lineRule="exact"/>
        <w:rPr>
          <w:sz w:val="20"/>
          <w:szCs w:val="20"/>
          <w:color w:val="auto"/>
        </w:rPr>
      </w:pPr>
    </w:p>
    <w:p>
      <w:pPr>
        <w:ind w:left="980" w:right="100"/>
        <w:spacing w:after="0" w:line="265" w:lineRule="auto"/>
        <w:rPr>
          <w:sz w:val="20"/>
          <w:szCs w:val="20"/>
          <w:color w:val="auto"/>
        </w:rPr>
      </w:pPr>
      <w:r>
        <w:rPr>
          <w:rFonts w:ascii="Times New Roman" w:cs="Times New Roman" w:eastAsia="Times New Roman" w:hAnsi="Times New Roman"/>
          <w:sz w:val="18"/>
          <w:szCs w:val="18"/>
          <w:color w:val="auto"/>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spacing w:after="0" w:line="176" w:lineRule="exact"/>
        <w:rPr>
          <w:sz w:val="20"/>
          <w:szCs w:val="20"/>
          <w:color w:val="auto"/>
        </w:rPr>
      </w:pPr>
    </w:p>
    <w:p>
      <w:pPr>
        <w:ind w:left="980" w:right="240"/>
        <w:spacing w:after="0" w:line="280" w:lineRule="auto"/>
        <w:rPr>
          <w:sz w:val="20"/>
          <w:szCs w:val="20"/>
          <w:color w:val="auto"/>
        </w:rPr>
      </w:pPr>
      <w:r>
        <w:rPr>
          <w:rFonts w:ascii="Times New Roman" w:cs="Times New Roman" w:eastAsia="Times New Roman" w:hAnsi="Times New Roman"/>
          <w:sz w:val="18"/>
          <w:szCs w:val="18"/>
          <w:color w:val="auto"/>
        </w:rPr>
        <w:t>See “Effect of Recently Adopted Amendments to Authoritative Accounting Guidance” below and Note 7 for further disclosures regarding our leases.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Contingent Liability for Repayment of State and Local Grant Funds Received</w:t>
      </w:r>
    </w:p>
    <w:p>
      <w:pPr>
        <w:spacing w:after="0" w:line="228"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In connection with a new facility in Rochester, New York, which our subsidiary, Ambrell Corporation (“Ambrell”), occupied in May 2018, we entered into agreements with the city of Rochester and the state of New York under which we expect to receive grants totaling $550 to help offset a portion of the cost of the leasehold improvements we have made to this facility. In exchange for the funds granted to us under these agreements, we are required to create and maintain specified levels of employment in this location through various dates ending in 2023. If we fail to meet these employment targets, we will be required to repay a proportionate share of the funds received. As of March 31, 2019, we have received $200 in grant funds. We currently expect to receive the remaining $350 of grant funds during the balance of 2019. We have recorded the amounts received under these agreements as a contingent liability on our balance sheet. As time passes, portions of the funds received will no longer be subject to repayment if we have met the employment requirements of the agreements. Amounts which we are irrevocably entitled to keep will be reclassified to deferred revenue and amortized to income on a straight-line basis over the remaining lease term for the Rochester facility.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228" w:lineRule="exact"/>
        <w:rPr>
          <w:sz w:val="20"/>
          <w:szCs w:val="20"/>
          <w:color w:val="auto"/>
        </w:rPr>
      </w:pPr>
    </w:p>
    <w:p>
      <w:pPr>
        <w:ind w:left="980" w:right="80"/>
        <w:spacing w:after="0" w:line="260"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9.</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Subsequent Events</w:t>
      </w:r>
    </w:p>
    <w:p>
      <w:pPr>
        <w:spacing w:after="0" w:line="228" w:lineRule="exact"/>
        <w:rPr>
          <w:sz w:val="20"/>
          <w:szCs w:val="20"/>
          <w:color w:val="auto"/>
        </w:rPr>
      </w:pPr>
    </w:p>
    <w:p>
      <w:pPr>
        <w:ind w:left="980" w:right="640"/>
        <w:spacing w:after="0" w:line="311" w:lineRule="auto"/>
        <w:rPr>
          <w:sz w:val="20"/>
          <w:szCs w:val="20"/>
          <w:color w:val="auto"/>
        </w:rPr>
      </w:pPr>
      <w:r>
        <w:rPr>
          <w:rFonts w:ascii="Times New Roman" w:cs="Times New Roman" w:eastAsia="Times New Roman" w:hAnsi="Times New Roman"/>
          <w:sz w:val="17"/>
          <w:szCs w:val="17"/>
          <w:color w:val="auto"/>
        </w:rPr>
        <w:t>We have made an assessment of our operations and determined that there were no material subsequent events requiring adjustment to, or disclosure in, our consolidated financial statements for the three months ended March 31, 2019 other than those described in Note 12.</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228"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9" w:lineRule="exact"/>
        <w:rPr>
          <w:sz w:val="20"/>
          <w:szCs w:val="20"/>
          <w:color w:val="auto"/>
        </w:rPr>
      </w:pPr>
    </w:p>
    <w:p>
      <w:pPr>
        <w:jc w:val="both"/>
        <w:ind w:left="980" w:right="160"/>
        <w:spacing w:after="0" w:line="255"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the Tax Cuts and Jobs Act. This legislation made significant changes in the U.S. tax laws including reducing the corporate tax rate to 21% and creating a territorial tax system with a one-time mandatory transition tax payable on previously unremitted earnings of foreign subsidiaries, among other things. See Note 12 to the consolidated financial statements in our 2018 Form 10-K</w:t>
      </w:r>
    </w:p>
    <w:p>
      <w:pPr>
        <w:ind w:left="980"/>
        <w:spacing w:after="0"/>
        <w:rPr>
          <w:sz w:val="20"/>
          <w:szCs w:val="20"/>
          <w:color w:val="auto"/>
        </w:rPr>
      </w:pPr>
      <w:r>
        <w:rPr>
          <w:rFonts w:ascii="Times New Roman" w:cs="Times New Roman" w:eastAsia="Times New Roman" w:hAnsi="Times New Roman"/>
          <w:sz w:val="18"/>
          <w:szCs w:val="18"/>
          <w:color w:val="auto"/>
        </w:rPr>
        <w:t>for additional information regarding income taxes.</w:t>
      </w:r>
    </w:p>
    <w:p>
      <w:pPr>
        <w:spacing w:after="0" w:line="2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Earnings Per Common Share</w:t>
      </w:r>
    </w:p>
    <w:p>
      <w:pPr>
        <w:spacing w:after="0" w:line="228" w:lineRule="exact"/>
        <w:rPr>
          <w:sz w:val="20"/>
          <w:szCs w:val="20"/>
          <w:color w:val="auto"/>
        </w:rPr>
      </w:pPr>
    </w:p>
    <w:p>
      <w:pPr>
        <w:ind w:left="980" w:right="60"/>
        <w:spacing w:after="0" w:line="257" w:lineRule="auto"/>
        <w:rPr>
          <w:sz w:val="20"/>
          <w:szCs w:val="20"/>
          <w:color w:val="auto"/>
        </w:rPr>
      </w:pPr>
      <w:r>
        <w:rPr>
          <w:rFonts w:ascii="Times New Roman" w:cs="Times New Roman" w:eastAsia="Times New Roman" w:hAnsi="Times New Roman"/>
          <w:sz w:val="18"/>
          <w:szCs w:val="18"/>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4" w:lineRule="exact"/>
        <w:rPr>
          <w:sz w:val="20"/>
          <w:szCs w:val="20"/>
          <w:color w:val="auto"/>
        </w:rPr>
      </w:pPr>
    </w:p>
    <w:p>
      <w:pPr>
        <w:ind w:left="980" w:right="140"/>
        <w:spacing w:after="0" w:line="265" w:lineRule="auto"/>
        <w:rPr>
          <w:sz w:val="20"/>
          <w:szCs w:val="20"/>
          <w:color w:val="auto"/>
        </w:rPr>
      </w:pPr>
      <w:r>
        <w:rPr>
          <w:rFonts w:ascii="Times New Roman" w:cs="Times New Roman" w:eastAsia="Times New Roman" w:hAnsi="Times New Roman"/>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31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708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5"/>
              </w:rPr>
              <w:t>March,</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080" w:type="dxa"/>
            <w:vAlign w:val="bottom"/>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18"/>
                <w:szCs w:val="18"/>
                <w:color w:val="auto"/>
              </w:rPr>
            </w:pPr>
          </w:p>
        </w:tc>
      </w:tr>
      <w:tr>
        <w:trPr>
          <w:trHeight w:val="20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10,385,017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10,326,309</w:t>
            </w:r>
          </w:p>
        </w:tc>
      </w:tr>
      <w:tr>
        <w:trPr>
          <w:trHeight w:val="215"/>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7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Unvested shares of restricted stock and employee stock options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and common share equivalents outstanding - diluted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10,414,330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10,365,306</w:t>
            </w:r>
          </w:p>
        </w:tc>
      </w:tr>
      <w:tr>
        <w:trPr>
          <w:trHeight w:val="20"/>
        </w:trPr>
        <w:tc>
          <w:tcPr>
            <w:tcW w:w="70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0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 potentially dilutive securities excluded from calculation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284,240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103,756</w:t>
            </w:r>
          </w:p>
        </w:tc>
      </w:tr>
      <w:tr>
        <w:trPr>
          <w:trHeight w:val="20"/>
        </w:trPr>
        <w:tc>
          <w:tcPr>
            <w:tcW w:w="70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420"/>
          </w:cols>
          <w:pgMar w:left="240" w:top="112" w:right="2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7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Effect of Recently Adopted Amendments to Authoritative Accounting Guidance</w:t>
      </w:r>
    </w:p>
    <w:p>
      <w:pPr>
        <w:spacing w:after="0" w:line="228" w:lineRule="exact"/>
        <w:rPr>
          <w:sz w:val="20"/>
          <w:szCs w:val="20"/>
          <w:color w:val="auto"/>
        </w:rPr>
      </w:pPr>
    </w:p>
    <w:p>
      <w:pPr>
        <w:ind w:left="980" w:right="120"/>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amendments to the current guidance on accounting for lease transactions, which is presented in ASC 842. Subsequent to February 2016, the FASB has issued additional clarifying guidance on certain aspects of this new guidance, along with certain practical expedients that may be applied.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is required to record a right-of-use asset and a lease liability on the balance sheet for all leases with terms longer than 12 months. Leases are classified as either finance or operating, with classification affecting the pattern of expense recognition in the income statement. The two permitted transition methods under the guidance are the modified retrospective transition approach, which requires application of the guidance for all comparative periods presented, and the cumulative effect adjustment approach, which requires prospective application at the adoption date.</w:t>
      </w:r>
    </w:p>
    <w:p>
      <w:pPr>
        <w:spacing w:after="0" w:line="190" w:lineRule="exact"/>
        <w:rPr>
          <w:sz w:val="20"/>
          <w:szCs w:val="20"/>
          <w:color w:val="auto"/>
        </w:rPr>
      </w:pPr>
    </w:p>
    <w:p>
      <w:pPr>
        <w:ind w:left="980" w:right="120"/>
        <w:spacing w:after="0" w:line="252" w:lineRule="auto"/>
        <w:rPr>
          <w:sz w:val="20"/>
          <w:szCs w:val="20"/>
          <w:color w:val="auto"/>
        </w:rPr>
      </w:pPr>
      <w:r>
        <w:rPr>
          <w:rFonts w:ascii="Times New Roman" w:cs="Times New Roman" w:eastAsia="Times New Roman" w:hAnsi="Times New Roman"/>
          <w:sz w:val="18"/>
          <w:szCs w:val="18"/>
          <w:color w:val="auto"/>
        </w:rPr>
        <w:t>The amendments were effective for us as of January 1, 2019. We adopted the amendments on January 1, 2019 using the cumulative effect adjustment approach. Accordingly, prior periods have not been restated. We have decided to elect the package of practical expedients which includes the grandfathering of lease classification and, accordingly, we have not re-evaluated any of our leases for classification purposes in connection with the implementation of ASC 842. They are all still being treated as operating leases under ASC 842. We do not currently have any lease contracts that meet the criteria to be categorized as financing leases under ASC 842. We do not have embedded leases nor do we have any initial direct costs. We are not electing the hindsight practical expedient and therefore are not reevaluating the lease terms that we used under ASC 840.The implementation of this new guidance had a significant impact on our consolidated balance sheet as a result of recording right-of-use assets and lease liabilities for all of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this new guidance did not have a significant impact on our pattern of expense recognition for any of our multi-year leases. See “Leases” above and Note 7 for further disclosures regarding our leases.</w:t>
      </w:r>
    </w:p>
    <w:p>
      <w:pPr>
        <w:spacing w:after="0" w:line="200" w:lineRule="exact"/>
        <w:rPr>
          <w:sz w:val="20"/>
          <w:szCs w:val="20"/>
          <w:color w:val="auto"/>
        </w:rPr>
      </w:pPr>
    </w:p>
    <w:p>
      <w:pPr>
        <w:spacing w:after="0" w:line="230" w:lineRule="exact"/>
        <w:rPr>
          <w:sz w:val="20"/>
          <w:szCs w:val="20"/>
          <w:color w:val="auto"/>
        </w:rPr>
      </w:pPr>
    </w:p>
    <w:p>
      <w:pPr>
        <w:ind w:left="980" w:hanging="972"/>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7" w:lineRule="exact"/>
        <w:rPr>
          <w:rFonts w:ascii="Times New Roman" w:cs="Times New Roman" w:eastAsia="Times New Roman" w:hAnsi="Times New Roman"/>
          <w:sz w:val="18"/>
          <w:szCs w:val="18"/>
          <w:b w:val="1"/>
          <w:bCs w:val="1"/>
          <w:color w:val="auto"/>
        </w:rPr>
      </w:pPr>
    </w:p>
    <w:p>
      <w:pPr>
        <w:jc w:val="both"/>
        <w:ind w:left="980" w:right="58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intangible assets on our balance sheets are the result of our acquisitions of Sigma Systems Corp. ("Sigma") in October 2008, Thermonics, Inc. ("Thermonics") in January 2012 and Ambrell in May 2017. All of our goodwill and intangible assets are allocated to our Thermal segment. Goodwill totaled $13,738 at each of March 31, 2019 and December 31, 2018.</w:t>
      </w:r>
    </w:p>
    <w:p>
      <w:pPr>
        <w:spacing w:after="0" w:line="17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Intangible Assets</w:t>
      </w:r>
    </w:p>
    <w:p>
      <w:pPr>
        <w:spacing w:after="0" w:line="22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amount of the carrying value of finite-lived intangible assets for the three months ended March 31, 2019 are as follows:</w:t>
      </w:r>
    </w:p>
    <w:p>
      <w:pPr>
        <w:spacing w:after="0" w:line="242"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2019</w:t>
            </w:r>
          </w:p>
        </w:tc>
        <w:tc>
          <w:tcPr>
            <w:tcW w:w="3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8,201</w:t>
            </w:r>
          </w:p>
        </w:tc>
      </w:tr>
      <w:tr>
        <w:trPr>
          <w:trHeight w:val="215"/>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5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37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7,884</w:t>
            </w:r>
          </w:p>
        </w:tc>
      </w:tr>
      <w:tr>
        <w:trPr>
          <w:trHeight w:val="20"/>
        </w:trPr>
        <w:tc>
          <w:tcPr>
            <w:tcW w:w="50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tables provide further detail about our intangible assets as of March 31, 2019 and December 31,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440"/>
              <w:spacing w:after="0" w:line="187"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0"/>
              <w:spacing w:after="0" w:line="187" w:lineRule="exact"/>
              <w:rPr>
                <w:sz w:val="20"/>
                <w:szCs w:val="20"/>
                <w:color w:val="auto"/>
              </w:rPr>
            </w:pPr>
            <w:r>
              <w:rPr>
                <w:rFonts w:ascii="Times New Roman" w:cs="Times New Roman" w:eastAsia="Times New Roman" w:hAnsi="Times New Roman"/>
                <w:sz w:val="18"/>
                <w:szCs w:val="18"/>
                <w:b w:val="1"/>
                <w:bCs w:val="1"/>
                <w:color w:val="auto"/>
              </w:rPr>
              <w:t>Net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2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7,493</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backlog</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12,580</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4,696</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00" w:type="dxa"/>
            <w:vAlign w:val="bottom"/>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14,594</w:t>
            </w:r>
          </w:p>
        </w:tc>
        <w:tc>
          <w:tcPr>
            <w:tcW w:w="0" w:type="dxa"/>
            <w:vAlign w:val="bottom"/>
          </w:tcPr>
          <w:p>
            <w:pPr>
              <w:spacing w:after="0"/>
              <w:rPr>
                <w:sz w:val="1"/>
                <w:szCs w:val="1"/>
                <w:color w:val="auto"/>
              </w:rPr>
            </w:pPr>
          </w:p>
        </w:tc>
      </w:tr>
      <w:tr>
        <w:trPr>
          <w:trHeight w:val="411"/>
        </w:trPr>
        <w:tc>
          <w:tcPr>
            <w:tcW w:w="1300" w:type="dxa"/>
            <w:vAlign w:val="bottom"/>
          </w:tcPr>
          <w:p>
            <w:pPr>
              <w:spacing w:after="0"/>
              <w:rPr>
                <w:sz w:val="24"/>
                <w:szCs w:val="24"/>
                <w:color w:val="auto"/>
              </w:rPr>
            </w:pPr>
          </w:p>
        </w:tc>
        <w:tc>
          <w:tcPr>
            <w:tcW w:w="33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jc w:val="right"/>
              <w:ind w:right="81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3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12" w:right="1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line="187"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0"/>
              <w:spacing w:after="0" w:line="187" w:lineRule="exact"/>
              <w:rPr>
                <w:sz w:val="20"/>
                <w:szCs w:val="20"/>
                <w:color w:val="auto"/>
              </w:rPr>
            </w:pPr>
            <w:r>
              <w:rPr>
                <w:rFonts w:ascii="Times New Roman" w:cs="Times New Roman" w:eastAsia="Times New Roman" w:hAnsi="Times New Roman"/>
                <w:sz w:val="18"/>
                <w:szCs w:val="18"/>
                <w:b w:val="1"/>
                <w:bCs w:val="1"/>
                <w:color w:val="auto"/>
              </w:rPr>
              <w:t>Net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5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backlog</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4,379</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980" w:right="140"/>
        <w:spacing w:after="0" w:line="265" w:lineRule="auto"/>
        <w:rPr>
          <w:sz w:val="20"/>
          <w:szCs w:val="20"/>
          <w:color w:val="auto"/>
        </w:rPr>
      </w:pPr>
      <w:r>
        <w:rPr>
          <w:rFonts w:ascii="Times New Roman" w:cs="Times New Roman" w:eastAsia="Times New Roman" w:hAnsi="Times New Roman"/>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76" w:lineRule="exact"/>
        <w:rPr>
          <w:sz w:val="20"/>
          <w:szCs w:val="20"/>
          <w:color w:val="auto"/>
        </w:rPr>
      </w:pPr>
    </w:p>
    <w:p>
      <w:pPr>
        <w:ind w:left="980" w:right="120"/>
        <w:spacing w:after="0" w:line="280" w:lineRule="auto"/>
        <w:rPr>
          <w:sz w:val="20"/>
          <w:szCs w:val="20"/>
          <w:color w:val="auto"/>
        </w:rPr>
      </w:pPr>
      <w:r>
        <w:rPr>
          <w:rFonts w:ascii="Times New Roman" w:cs="Times New Roman" w:eastAsia="Times New Roman" w:hAnsi="Times New Roman"/>
          <w:sz w:val="18"/>
          <w:szCs w:val="18"/>
          <w:color w:val="auto"/>
        </w:rPr>
        <w:t>Total amortization expense for our finite-lived intangible assets was $317 and $216, respectively, for the three months ended March 31, 2019 and 2018. The following table sets forth the estimated annual amortization expense for each of the next five years: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(remainder)</w:t>
            </w:r>
          </w:p>
        </w:tc>
        <w:tc>
          <w:tcPr>
            <w:tcW w:w="4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5"/>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1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15"/>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1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bl>
    <w:p>
      <w:pPr>
        <w:spacing w:after="0" w:line="200" w:lineRule="exact"/>
        <w:rPr>
          <w:sz w:val="20"/>
          <w:szCs w:val="20"/>
          <w:color w:val="auto"/>
        </w:rPr>
      </w:pPr>
    </w:p>
    <w:p>
      <w:pPr>
        <w:spacing w:after="0" w:line="235" w:lineRule="exact"/>
        <w:rPr>
          <w:sz w:val="20"/>
          <w:szCs w:val="20"/>
          <w:color w:val="auto"/>
        </w:rPr>
      </w:pPr>
    </w:p>
    <w:p>
      <w:pPr>
        <w:ind w:left="980" w:hanging="972"/>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7" w:lineRule="exact"/>
        <w:rPr>
          <w:rFonts w:ascii="Times New Roman" w:cs="Times New Roman" w:eastAsia="Times New Roman" w:hAnsi="Times New Roman"/>
          <w:sz w:val="18"/>
          <w:szCs w:val="18"/>
          <w:b w:val="1"/>
          <w:bCs w:val="1"/>
          <w:color w:val="auto"/>
        </w:rPr>
      </w:pPr>
    </w:p>
    <w:p>
      <w:pPr>
        <w:ind w:left="980" w:right="640"/>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provide additional information about our revenue from contracts with customers, including revenue by customer and product type and revenue by market. See also Note 11 for information about revenue by operating segment and geographic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5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customer type:</w:t>
            </w:r>
          </w:p>
        </w:tc>
        <w:tc>
          <w:tcPr>
            <w:tcW w:w="3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End user</w:t>
            </w:r>
          </w:p>
        </w:tc>
        <w:tc>
          <w:tcPr>
            <w:tcW w:w="46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16,037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16,328</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OEM/Integrator</w:t>
            </w:r>
          </w:p>
        </w:tc>
        <w:tc>
          <w:tcPr>
            <w:tcW w:w="3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18,062</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0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product type:</w:t>
            </w: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Thermal test</w:t>
            </w:r>
          </w:p>
        </w:tc>
        <w:tc>
          <w:tcPr>
            <w:tcW w:w="46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5,224</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6,032</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Induction heating</w:t>
            </w: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5,751</w:t>
            </w:r>
          </w:p>
        </w:tc>
        <w:tc>
          <w:tcPr>
            <w:tcW w:w="9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production test</w:t>
            </w:r>
          </w:p>
        </w:tc>
        <w:tc>
          <w:tcPr>
            <w:tcW w:w="3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5,284</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5,339</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Service/other</w:t>
            </w: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1,803</w:t>
            </w:r>
          </w:p>
        </w:tc>
        <w:tc>
          <w:tcPr>
            <w:tcW w:w="9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00" w:type="dxa"/>
            <w:vAlign w:val="bottom"/>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46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18,062</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18,871</w:t>
            </w:r>
          </w:p>
        </w:tc>
        <w:tc>
          <w:tcPr>
            <w:tcW w:w="0" w:type="dxa"/>
            <w:vAlign w:val="bottom"/>
          </w:tcPr>
          <w:p>
            <w:pPr>
              <w:spacing w:after="0"/>
              <w:rPr>
                <w:sz w:val="1"/>
                <w:szCs w:val="1"/>
                <w:color w:val="auto"/>
              </w:rPr>
            </w:pPr>
          </w:p>
        </w:tc>
      </w:tr>
      <w:tr>
        <w:trPr>
          <w:trHeight w:val="196"/>
        </w:trPr>
        <w:tc>
          <w:tcPr>
            <w:tcW w:w="1300" w:type="dxa"/>
            <w:vAlign w:val="bottom"/>
            <w:vMerge w:val="restart"/>
          </w:tcPr>
          <w:p>
            <w:pPr>
              <w:spacing w:after="0"/>
              <w:rPr>
                <w:sz w:val="17"/>
                <w:szCs w:val="17"/>
                <w:color w:val="auto"/>
              </w:rPr>
            </w:pPr>
          </w:p>
        </w:tc>
        <w:tc>
          <w:tcPr>
            <w:tcW w:w="3360" w:type="dxa"/>
            <w:vAlign w:val="bottom"/>
            <w:tcBorders>
              <w:top w:val="single" w:sz="8" w:color="CCEEFF"/>
            </w:tcBorders>
          </w:tcPr>
          <w:p>
            <w:pPr>
              <w:spacing w:after="0"/>
              <w:rPr>
                <w:sz w:val="17"/>
                <w:szCs w:val="17"/>
                <w:color w:val="auto"/>
              </w:rPr>
            </w:pPr>
          </w:p>
        </w:tc>
        <w:tc>
          <w:tcPr>
            <w:tcW w:w="37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0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market:</w:t>
            </w:r>
          </w:p>
        </w:tc>
        <w:tc>
          <w:tcPr>
            <w:tcW w:w="3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46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10,111</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10,539</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5,946</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5,653</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w:t>
            </w:r>
          </w:p>
        </w:tc>
        <w:tc>
          <w:tcPr>
            <w:tcW w:w="9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non-semiconductor markets</w:t>
            </w:r>
          </w:p>
        </w:tc>
        <w:tc>
          <w:tcPr>
            <w:tcW w:w="3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1,412</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18,062</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74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3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12" w:right="1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was no change in the amount of the allowance for doubtful accounts for the three months ended March 31, 2019.</w:t>
      </w:r>
    </w:p>
    <w:p>
      <w:pPr>
        <w:spacing w:after="0" w:line="200" w:lineRule="exact"/>
        <w:rPr>
          <w:sz w:val="20"/>
          <w:szCs w:val="20"/>
          <w:color w:val="auto"/>
        </w:rPr>
      </w:pPr>
    </w:p>
    <w:p>
      <w:pPr>
        <w:spacing w:after="0" w:line="262" w:lineRule="exact"/>
        <w:rPr>
          <w:sz w:val="20"/>
          <w:szCs w:val="20"/>
          <w:color w:val="auto"/>
        </w:rPr>
      </w:pPr>
    </w:p>
    <w:p>
      <w:pPr>
        <w:ind w:left="980" w:hanging="972"/>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w:t>
      </w:r>
    </w:p>
    <w:p>
      <w:pPr>
        <w:spacing w:after="0" w:line="227" w:lineRule="exact"/>
        <w:rPr>
          <w:rFonts w:ascii="Times New Roman" w:cs="Times New Roman" w:eastAsia="Times New Roman" w:hAnsi="Times New Roman"/>
          <w:sz w:val="18"/>
          <w:szCs w:val="18"/>
          <w:b w:val="1"/>
          <w:bCs w:val="1"/>
          <w:color w:val="auto"/>
        </w:rPr>
      </w:pPr>
    </w:p>
    <w:p>
      <w:pPr>
        <w:ind w:left="980" w:right="30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March 31, 2019 and 2018, Texas Instruments Incorporated accounted for 16% and 11% of our consolidated net revenues, respectively. While both of our segments sold to this customer, these revenues were primarily generated by our EMS segment. No other customers accounted for 10% or more of our consolidated net revenues during the three months ended March 31, 2019 and 2018.</w:t>
      </w:r>
    </w:p>
    <w:p>
      <w:pPr>
        <w:spacing w:after="0" w:line="200" w:lineRule="exact"/>
        <w:rPr>
          <w:rFonts w:ascii="Times New Roman" w:cs="Times New Roman" w:eastAsia="Times New Roman" w:hAnsi="Times New Roman"/>
          <w:sz w:val="18"/>
          <w:szCs w:val="18"/>
          <w:b w:val="1"/>
          <w:bCs w:val="1"/>
          <w:color w:val="auto"/>
        </w:rPr>
      </w:pPr>
    </w:p>
    <w:p>
      <w:pPr>
        <w:spacing w:after="0" w:line="213" w:lineRule="exact"/>
        <w:rPr>
          <w:rFonts w:ascii="Times New Roman" w:cs="Times New Roman" w:eastAsia="Times New Roman" w:hAnsi="Times New Roman"/>
          <w:sz w:val="18"/>
          <w:szCs w:val="18"/>
          <w:b w:val="1"/>
          <w:bCs w:val="1"/>
          <w:color w:val="auto"/>
        </w:rPr>
      </w:pPr>
    </w:p>
    <w:p>
      <w:pPr>
        <w:ind w:left="980" w:hanging="972"/>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7"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held at March 31, 2019 and December 31, 2018 were comprised of the following:</w:t>
      </w:r>
    </w:p>
    <w:p>
      <w:pPr>
        <w:spacing w:after="0" w:line="220"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tcPr>
          <w:p>
            <w:pPr>
              <w:spacing w:after="0"/>
              <w:rPr>
                <w:sz w:val="20"/>
                <w:szCs w:val="20"/>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4,654</w:t>
            </w:r>
          </w:p>
        </w:tc>
      </w:tr>
      <w:tr>
        <w:trPr>
          <w:trHeight w:val="21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1,026</w:t>
            </w:r>
          </w:p>
        </w:tc>
      </w:tr>
      <w:tr>
        <w:trPr>
          <w:trHeight w:val="215"/>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consigned to others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40" w:type="dxa"/>
            <w:vAlign w:val="bottom"/>
          </w:tcPr>
          <w:p>
            <w:pPr>
              <w:spacing w:after="0"/>
              <w:rPr>
                <w:sz w:val="18"/>
                <w:szCs w:val="18"/>
                <w:color w:val="auto"/>
              </w:rPr>
            </w:pPr>
          </w:p>
        </w:tc>
      </w:tr>
      <w:tr>
        <w:trPr>
          <w:trHeight w:val="249"/>
        </w:trPr>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4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5" w:lineRule="exact"/>
        <w:rPr>
          <w:sz w:val="20"/>
          <w:szCs w:val="20"/>
          <w:color w:val="auto"/>
        </w:rPr>
      </w:pPr>
    </w:p>
    <w:p>
      <w:pPr>
        <w:ind w:left="980" w:hanging="972"/>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rFonts w:ascii="Times New Roman" w:cs="Times New Roman" w:eastAsia="Times New Roman" w:hAnsi="Times New Roman"/>
          <w:sz w:val="18"/>
          <w:szCs w:val="18"/>
          <w:b w:val="1"/>
          <w:bCs w:val="1"/>
          <w:color w:val="auto"/>
        </w:rPr>
      </w:pPr>
    </w:p>
    <w:p>
      <w:pPr>
        <w:ind w:left="980" w:right="28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previously discussed in Note 2, we account for our leases in accordance with the guidance in ASC 842, which was effective for us as of January 1, 2019. In connection with the implementation of ASC 842, we recorded non-cash increases in operating lease liabilities and right-of-use assets of $5,197 and $4,816, respectively, as of the effective date of this guidance.</w:t>
      </w:r>
    </w:p>
    <w:p>
      <w:pPr>
        <w:spacing w:after="0" w:line="176" w:lineRule="exact"/>
        <w:rPr>
          <w:sz w:val="20"/>
          <w:szCs w:val="20"/>
          <w:color w:val="auto"/>
        </w:rPr>
      </w:pPr>
    </w:p>
    <w:p>
      <w:pPr>
        <w:ind w:left="980" w:right="360"/>
        <w:spacing w:after="0" w:line="260" w:lineRule="auto"/>
        <w:rPr>
          <w:sz w:val="20"/>
          <w:szCs w:val="20"/>
          <w:color w:val="auto"/>
        </w:rPr>
      </w:pPr>
      <w:r>
        <w:rPr>
          <w:rFonts w:ascii="Times New Roman" w:cs="Times New Roman" w:eastAsia="Times New Roman" w:hAnsi="Times New Roman"/>
          <w:sz w:val="18"/>
          <w:szCs w:val="18"/>
          <w:color w:val="auto"/>
        </w:rPr>
        <w:t>We lease our offices, warehouse facilities and certain equipment under non-cancellable operating leases which expire at various dates through 2028. Total operating lease cost for the three months ended March 31, 2019 and 2018 was $366 and $418, respectively. Total short-term lease cost for the three months ended March 31, 2019 and 2018 was $13 and $14, respectively. The following is additional information about our leases as of March 31, 2019:</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remaining lease terms (in years)</w:t>
            </w:r>
          </w:p>
        </w:tc>
        <w:tc>
          <w:tcPr>
            <w:tcW w:w="334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0.5   to  9.2</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5.0</w:t>
            </w:r>
          </w:p>
        </w:tc>
      </w:tr>
      <w:tr>
        <w:trPr>
          <w:trHeight w:val="21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340" w:type="dxa"/>
            <w:vAlign w:val="bottom"/>
            <w:shd w:val="clear" w:color="auto" w:fill="CCEEFF"/>
          </w:tcPr>
          <w:p>
            <w:pPr>
              <w:ind w:left="2960"/>
              <w:spacing w:after="0"/>
              <w:rPr>
                <w:sz w:val="20"/>
                <w:szCs w:val="20"/>
                <w:color w:val="auto"/>
              </w:rPr>
            </w:pPr>
            <w:r>
              <w:rPr>
                <w:rFonts w:ascii="Times New Roman" w:cs="Times New Roman" w:eastAsia="Times New Roman" w:hAnsi="Times New Roman"/>
                <w:sz w:val="18"/>
                <w:szCs w:val="18"/>
                <w:color w:val="auto"/>
                <w:w w:val="95"/>
              </w:rPr>
              <w:t>5.0%</w:t>
            </w:r>
          </w:p>
        </w:tc>
      </w:tr>
    </w:tbl>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three months ended March 31, 2019 was as follows: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Non-cash decrease in operating lease liabilities and right-of-use assets as a result of lease</w:t>
            </w: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modifications</w:t>
            </w: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-273050</wp:posOffset>
            </wp:positionV>
            <wp:extent cx="5794375" cy="273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4375" cy="273685"/>
                    </a:xfrm>
                    <a:prstGeom prst="rect">
                      <a:avLst/>
                    </a:prstGeom>
                    <a:noFill/>
                  </pic:spPr>
                </pic:pic>
              </a:graphicData>
            </a:graphic>
          </wp:anchor>
        </w:drawing>
      </w:r>
    </w:p>
    <w:p>
      <w:pPr>
        <w:spacing w:after="0" w:line="177" w:lineRule="exact"/>
        <w:rPr>
          <w:sz w:val="20"/>
          <w:szCs w:val="20"/>
          <w:color w:val="auto"/>
        </w:rPr>
      </w:pPr>
    </w:p>
    <w:p>
      <w:pPr>
        <w:ind w:left="980" w:right="320"/>
        <w:spacing w:after="0" w:line="265" w:lineRule="auto"/>
        <w:rPr>
          <w:sz w:val="20"/>
          <w:szCs w:val="20"/>
          <w:color w:val="auto"/>
        </w:rPr>
      </w:pPr>
      <w:r>
        <w:rPr>
          <w:rFonts w:ascii="Times New Roman" w:cs="Times New Roman" w:eastAsia="Times New Roman" w:hAnsi="Times New Roman"/>
          <w:sz w:val="18"/>
          <w:szCs w:val="18"/>
          <w:color w:val="auto"/>
        </w:rPr>
        <w:t>The decrease reflected in the table above is a result of a modification to reduce the term of the lease for Ambrell’s facility located in the U.K. This lease originally had a 15 year term which extended through August 2029. The lease included the option to terminate the lease at specified points in time without penalty. We exercised this option in March 2019 and the lease now expires in September 2019.</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as of March 31, 2019 were as follows:</w:t>
            </w:r>
          </w:p>
        </w:tc>
        <w:tc>
          <w:tcPr>
            <w:tcW w:w="1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(remainder)</w:t>
            </w:r>
          </w:p>
        </w:tc>
        <w:tc>
          <w:tcPr>
            <w:tcW w:w="2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1,188</w:t>
            </w:r>
          </w:p>
        </w:tc>
      </w:tr>
      <w:tr>
        <w:trPr>
          <w:trHeight w:val="215"/>
        </w:trPr>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1,510</w:t>
            </w:r>
          </w:p>
        </w:tc>
      </w:tr>
      <w:tr>
        <w:trPr>
          <w:trHeight w:val="215"/>
        </w:trPr>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w:t>
            </w:r>
          </w:p>
        </w:tc>
      </w:tr>
      <w:tr>
        <w:trPr>
          <w:trHeight w:val="215"/>
        </w:trPr>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r>
      <w:tr>
        <w:trPr>
          <w:trHeight w:val="215"/>
        </w:trPr>
        <w:tc>
          <w:tcPr>
            <w:tcW w:w="1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r>
      <w:tr>
        <w:trPr>
          <w:trHeight w:val="215"/>
        </w:trPr>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2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4,919</w:t>
            </w:r>
          </w:p>
        </w:tc>
      </w:tr>
      <w:tr>
        <w:trPr>
          <w:trHeight w:val="215"/>
        </w:trPr>
        <w:tc>
          <w:tcPr>
            <w:tcW w:w="1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r>
      <w:tr>
        <w:trPr>
          <w:trHeight w:val="20"/>
        </w:trPr>
        <w:tc>
          <w:tcPr>
            <w:tcW w:w="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60" w:type="dxa"/>
            <w:vAlign w:val="bottom"/>
          </w:tcPr>
          <w:p>
            <w:pPr>
              <w:spacing w:after="0"/>
              <w:rPr>
                <w:sz w:val="19"/>
                <w:szCs w:val="19"/>
                <w:color w:val="auto"/>
              </w:rPr>
            </w:pPr>
          </w:p>
        </w:tc>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4,368</w:t>
            </w:r>
          </w:p>
        </w:tc>
      </w:tr>
      <w:tr>
        <w:trPr>
          <w:trHeight w:val="20"/>
        </w:trPr>
        <w:tc>
          <w:tcPr>
            <w:tcW w:w="160" w:type="dxa"/>
            <w:vAlign w:val="bottom"/>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980" w:hanging="972"/>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Letters of Credit</w:t>
      </w:r>
    </w:p>
    <w:p>
      <w:pPr>
        <w:spacing w:after="0" w:line="227" w:lineRule="exact"/>
        <w:rPr>
          <w:rFonts w:ascii="Times New Roman" w:cs="Times New Roman" w:eastAsia="Times New Roman" w:hAnsi="Times New Roman"/>
          <w:sz w:val="18"/>
          <w:szCs w:val="18"/>
          <w:b w:val="1"/>
          <w:bCs w:val="1"/>
          <w:color w:val="auto"/>
        </w:rPr>
      </w:pPr>
    </w:p>
    <w:p>
      <w:pPr>
        <w:ind w:left="980" w:right="12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In accordance with the terms of our lease, the letter of credit related to our facility in Mt. Laurel, New Jersey was reduced from $125 to $90 on April 1, 2019. On April 8, 2019 the lease for our Mansfield, Massachusetts facility was modified as discussed further in Note 12.</w:t>
      </w:r>
    </w:p>
    <w:p>
      <w:pPr>
        <w:spacing w:after="0" w:line="1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520"/>
          </w:cols>
          <w:pgMar w:left="240" w:top="112" w:right="139" w:bottom="172"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outstanding letters of credit at March 31, 2019 and December 31, 2018 consisted of the following:</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L/C</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80" w:type="dxa"/>
            <w:vAlign w:val="bottom"/>
          </w:tcPr>
          <w:p>
            <w:pPr>
              <w:spacing w:after="0"/>
              <w:rPr>
                <w:sz w:val="20"/>
                <w:szCs w:val="20"/>
                <w:color w:val="auto"/>
              </w:rPr>
            </w:pPr>
          </w:p>
        </w:tc>
        <w:tc>
          <w:tcPr>
            <w:tcW w:w="27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Outstanding</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Original L/C</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5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Laurel, NJ</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3/29/2010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3/31/2020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4/30/2021 $</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Mansfield, MA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10/27/2010</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11/08/2019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8/23/2021</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980" w:hanging="972"/>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rFonts w:ascii="Times New Roman" w:cs="Times New Roman" w:eastAsia="Times New Roman" w:hAnsi="Times New Roman"/>
          <w:sz w:val="18"/>
          <w:szCs w:val="18"/>
          <w:b w:val="1"/>
          <w:bCs w:val="1"/>
          <w:color w:val="auto"/>
        </w:rPr>
      </w:pPr>
    </w:p>
    <w:p>
      <w:pPr>
        <w:ind w:left="980" w:right="520"/>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2019, we have unvested restricted stock awards and stock options granted under stock-based compensation plans that are described more fully in Note 14 to the consolidated financial statements in our 2018 Form 10-K.</w:t>
      </w:r>
    </w:p>
    <w:p>
      <w:pPr>
        <w:spacing w:after="0" w:line="163" w:lineRule="exact"/>
        <w:rPr>
          <w:rFonts w:ascii="Times New Roman" w:cs="Times New Roman" w:eastAsia="Times New Roman" w:hAnsi="Times New Roman"/>
          <w:sz w:val="18"/>
          <w:szCs w:val="18"/>
          <w:b w:val="1"/>
          <w:bCs w:val="1"/>
          <w:color w:val="auto"/>
        </w:rPr>
      </w:pPr>
    </w:p>
    <w:p>
      <w:pPr>
        <w:ind w:left="980" w:right="60"/>
        <w:spacing w:after="0" w:line="28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March 31, 2019, total unrecognized compensation expense related to unvested restricted stock awards and stock options was $2,055. The weighted average period over which this expense is expected to be recognized is 3.2 years. The following table shows the allocation of the compensation expense we recorded during the three months ended March 31, 2019 and 2018, respectively, related to stock-based compensation:</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60" w:type="dxa"/>
            <w:vAlign w:val="bottom"/>
            <w:gridSpan w:val="4"/>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5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520" w:type="dxa"/>
            <w:vAlign w:val="bottom"/>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10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10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6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was no stock-based compensation expense capitalized in the three months ended March 31, 2019 or 2018.</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Awards</w:t>
      </w:r>
    </w:p>
    <w:p>
      <w:pPr>
        <w:spacing w:after="0" w:line="228" w:lineRule="exact"/>
        <w:rPr>
          <w:sz w:val="20"/>
          <w:szCs w:val="20"/>
          <w:color w:val="auto"/>
        </w:rPr>
      </w:pPr>
    </w:p>
    <w:p>
      <w:pPr>
        <w:ind w:left="980" w:right="120"/>
        <w:spacing w:after="0" w:line="257" w:lineRule="auto"/>
        <w:rPr>
          <w:sz w:val="20"/>
          <w:szCs w:val="20"/>
          <w:color w:val="auto"/>
        </w:rPr>
      </w:pPr>
      <w:r>
        <w:rPr>
          <w:rFonts w:ascii="Times New Roman" w:cs="Times New Roman" w:eastAsia="Times New Roman" w:hAnsi="Times New Roman"/>
          <w:sz w:val="18"/>
          <w:szCs w:val="18"/>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In March 2019 and 2018, we granted 36,000 and 32,000 shares of restricted stock, respectively, to our independent directors. These shares vest 25% at each of March 31, June 30, September 30, and December 31 of the year in which they were granted. The total compensation expense related to these shares is $257 and $270, respectively, and is recorded as the shares vest.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unvested shares of restricted stock for the three months ended March 31, 2019:</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7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5"/>
        </w:trPr>
        <w:tc>
          <w:tcPr>
            <w:tcW w:w="710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7100" w:type="dxa"/>
            <w:vAlign w:val="bottom"/>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80" w:type="dxa"/>
            <w:vAlign w:val="bottom"/>
          </w:tcPr>
          <w:p>
            <w:pPr>
              <w:spacing w:after="0"/>
              <w:rPr>
                <w:sz w:val="20"/>
                <w:szCs w:val="20"/>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January 1, 2019</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114,750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w:t>
            </w:r>
          </w:p>
        </w:tc>
      </w:tr>
      <w:tr>
        <w:trPr>
          <w:trHeight w:val="215"/>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w:t>
            </w:r>
          </w:p>
        </w:tc>
      </w:tr>
      <w:tr>
        <w:trPr>
          <w:trHeight w:val="215"/>
        </w:trPr>
        <w:tc>
          <w:tcPr>
            <w:tcW w:w="7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w:t>
            </w:r>
          </w:p>
        </w:tc>
      </w:tr>
      <w:tr>
        <w:trPr>
          <w:trHeight w:val="215"/>
        </w:trPr>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March 31, 2019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161,050</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w:t>
            </w:r>
          </w:p>
        </w:tc>
      </w:tr>
    </w:tbl>
    <w:p>
      <w:pPr>
        <w:spacing w:after="0" w:line="197" w:lineRule="exact"/>
        <w:rPr>
          <w:sz w:val="20"/>
          <w:szCs w:val="20"/>
          <w:color w:val="auto"/>
        </w:rPr>
      </w:pPr>
    </w:p>
    <w:p>
      <w:pPr>
        <w:jc w:val="both"/>
        <w:ind w:left="980" w:right="80"/>
        <w:spacing w:after="0" w:line="280" w:lineRule="auto"/>
        <w:rPr>
          <w:sz w:val="20"/>
          <w:szCs w:val="20"/>
          <w:color w:val="auto"/>
        </w:rPr>
      </w:pPr>
      <w:r>
        <w:rPr>
          <w:rFonts w:ascii="Times New Roman" w:cs="Times New Roman" w:eastAsia="Times New Roman" w:hAnsi="Times New Roman"/>
          <w:sz w:val="18"/>
          <w:szCs w:val="18"/>
          <w:color w:val="auto"/>
        </w:rPr>
        <w:t>The total fair value of the shares that vested during the three months ended March 31, 2019 and 2018 was $239 and $169, respectively, as of the vesting dates of these shares.</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8" w:lineRule="exact"/>
        <w:rPr>
          <w:sz w:val="20"/>
          <w:szCs w:val="20"/>
          <w:color w:val="auto"/>
        </w:rPr>
      </w:pPr>
    </w:p>
    <w:p>
      <w:pPr>
        <w:jc w:val="both"/>
        <w:ind w:left="980" w:right="120"/>
        <w:spacing w:after="0" w:line="265" w:lineRule="auto"/>
        <w:rPr>
          <w:sz w:val="20"/>
          <w:szCs w:val="20"/>
          <w:color w:val="auto"/>
        </w:rPr>
      </w:pPr>
      <w:r>
        <w:rPr>
          <w:rFonts w:ascii="Times New Roman" w:cs="Times New Roman" w:eastAsia="Times New Roman" w:hAnsi="Times New Roman"/>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for stock options granted during the three months ended March 31, 2019 and 2018 was estimated at the date of grant using the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Black-Scholes option pricing model with the following weighted average assumptions: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5"/>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5"/>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common stock market price volatility factor</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expected life of stock options (years)</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8" w:lineRule="exact"/>
        <w:rPr>
          <w:sz w:val="20"/>
          <w:szCs w:val="20"/>
          <w:color w:val="auto"/>
        </w:rPr>
      </w:pPr>
    </w:p>
    <w:p>
      <w:pPr>
        <w:ind w:left="980" w:right="40"/>
        <w:spacing w:after="0" w:line="280"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issued during the three months ended March 31, 2019 and 2018 was $3.13 and $3.61, respectively.</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for the three months ended March 31, 2019:</w:t>
      </w:r>
    </w:p>
    <w:p>
      <w:pPr>
        <w:sectPr>
          <w:pgSz w:w="11900" w:h="16838" w:orient="portrait"/>
          <w:cols w:equalWidth="0" w:num="1">
            <w:col w:w="11400"/>
          </w:cols>
          <w:pgMar w:left="240" w:top="11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Options outstanding, January 1, 2019 (21,800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-111760</wp:posOffset>
            </wp:positionV>
            <wp:extent cx="652081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0815" cy="136525"/>
                    </a:xfrm>
                    <a:prstGeom prst="rect">
                      <a:avLst/>
                    </a:prstGeom>
                    <a:noFill/>
                  </pic:spPr>
                </pic:pic>
              </a:graphicData>
            </a:graphic>
          </wp:anchor>
        </w:drawing>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5080</wp:posOffset>
            </wp:positionV>
            <wp:extent cx="6520815"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0815" cy="13652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Exercised</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13970</wp:posOffset>
            </wp:positionV>
            <wp:extent cx="652081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0815" cy="162560"/>
                    </a:xfrm>
                    <a:prstGeom prst="rect">
                      <a:avLst/>
                    </a:prstGeom>
                    <a:noFill/>
                  </pic:spPr>
                </pic:pic>
              </a:graphicData>
            </a:graphic>
          </wp:anchor>
        </w:drawing>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Options outstanding, March 31, 2019 (75,625 exercisable)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5"/>
        </w:trPr>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5"/>
        </w:trPr>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0"/>
        </w:trPr>
        <w:tc>
          <w:tcPr>
            <w:tcW w:w="14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264,400</w:t>
            </w:r>
          </w:p>
        </w:tc>
        <w:tc>
          <w:tcPr>
            <w:tcW w:w="200" w:type="dxa"/>
            <w:vAlign w:val="bottom"/>
          </w:tcPr>
          <w:p>
            <w:pPr>
              <w:spacing w:after="0"/>
              <w:rPr>
                <w:sz w:val="16"/>
                <w:szCs w:val="16"/>
                <w:color w:val="auto"/>
              </w:rPr>
            </w:pPr>
          </w:p>
        </w:tc>
        <w:tc>
          <w:tcPr>
            <w:tcW w:w="1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16"/>
                <w:szCs w:val="16"/>
                <w:color w:val="auto"/>
              </w:rPr>
            </w:pPr>
          </w:p>
        </w:tc>
      </w:tr>
      <w:tr>
        <w:trPr>
          <w:trHeight w:val="215"/>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w:t>
            </w:r>
          </w:p>
        </w:tc>
      </w:tr>
      <w:tr>
        <w:trPr>
          <w:trHeight w:val="215"/>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34"/>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09"/>
        </w:trPr>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160"/>
          </w:cols>
          <w:pgMar w:left="240" w:top="112" w:right="259" w:bottom="1440" w:gutter="0" w:footer="0" w:header="0"/>
          <w:type w:val="continuous"/>
        </w:sectPr>
      </w:pPr>
    </w:p>
    <w:p>
      <w:pPr>
        <w:spacing w:after="0" w:line="235" w:lineRule="exact"/>
        <w:rPr>
          <w:sz w:val="20"/>
          <w:szCs w:val="20"/>
          <w:color w:val="auto"/>
        </w:rPr>
      </w:pPr>
    </w:p>
    <w:p>
      <w:pPr>
        <w:ind w:left="980" w:hanging="972"/>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7" w:lineRule="exact"/>
        <w:rPr>
          <w:rFonts w:ascii="Times New Roman" w:cs="Times New Roman" w:eastAsia="Times New Roman" w:hAnsi="Times New Roman"/>
          <w:sz w:val="18"/>
          <w:szCs w:val="18"/>
          <w:b w:val="1"/>
          <w:bCs w:val="1"/>
          <w:color w:val="auto"/>
        </w:rPr>
      </w:pPr>
    </w:p>
    <w:p>
      <w:pPr>
        <w:ind w:left="980"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defined contribution 401(k) plans for our employees who work in the U.S. All permanent employees of inTEST Corporation, inTEST EMS LLC,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ended March 31, 2019 and 2018, we recorded $190 and $121 of expense for matching contributions, respectively.</w:t>
      </w:r>
    </w:p>
    <w:p>
      <w:pPr>
        <w:spacing w:after="0" w:line="187" w:lineRule="exact"/>
        <w:rPr>
          <w:rFonts w:ascii="Times New Roman" w:cs="Times New Roman" w:eastAsia="Times New Roman" w:hAnsi="Times New Roman"/>
          <w:sz w:val="18"/>
          <w:szCs w:val="18"/>
          <w:b w:val="1"/>
          <w:bCs w:val="1"/>
          <w:color w:val="auto"/>
        </w:rPr>
      </w:pPr>
    </w:p>
    <w:p>
      <w:pPr>
        <w:ind w:left="98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For the three months ended March 31, 2019 and 2018, we made matching contributions of $23 and $26, respectively.</w:t>
      </w:r>
    </w:p>
    <w:p>
      <w:pPr>
        <w:spacing w:after="0" w:line="200" w:lineRule="exact"/>
        <w:rPr>
          <w:rFonts w:ascii="Times New Roman" w:cs="Times New Roman" w:eastAsia="Times New Roman" w:hAnsi="Times New Roman"/>
          <w:sz w:val="18"/>
          <w:szCs w:val="18"/>
          <w:b w:val="1"/>
          <w:bCs w:val="1"/>
          <w:color w:val="auto"/>
        </w:rPr>
      </w:pPr>
    </w:p>
    <w:p>
      <w:pPr>
        <w:spacing w:after="0" w:line="226" w:lineRule="exact"/>
        <w:rPr>
          <w:rFonts w:ascii="Times New Roman" w:cs="Times New Roman" w:eastAsia="Times New Roman" w:hAnsi="Times New Roman"/>
          <w:sz w:val="18"/>
          <w:szCs w:val="18"/>
          <w:b w:val="1"/>
          <w:bCs w:val="1"/>
          <w:color w:val="auto"/>
        </w:rPr>
      </w:pPr>
    </w:p>
    <w:p>
      <w:pPr>
        <w:ind w:left="980" w:hanging="972"/>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rFonts w:ascii="Times New Roman" w:cs="Times New Roman" w:eastAsia="Times New Roman" w:hAnsi="Times New Roman"/>
          <w:sz w:val="18"/>
          <w:szCs w:val="18"/>
          <w:b w:val="1"/>
          <w:bCs w:val="1"/>
          <w:color w:val="auto"/>
        </w:rPr>
      </w:pPr>
    </w:p>
    <w:p>
      <w:pPr>
        <w:ind w:left="9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two reportable segments, which are also our reporting units, Thermal and EMS. Thermal includes the operations of Temptronic, Thermonics, Sigma, inTEST Thermal Solutions GmbH (Germany), inTEST Pte, Limited (Singapore) and Ambrell.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89" w:lineRule="exact"/>
        <w:rPr>
          <w:rFonts w:ascii="Times New Roman" w:cs="Times New Roman" w:eastAsia="Times New Roman" w:hAnsi="Times New Roman"/>
          <w:sz w:val="18"/>
          <w:szCs w:val="18"/>
          <w:b w:val="1"/>
          <w:bCs w:val="1"/>
          <w:color w:val="auto"/>
        </w:rPr>
      </w:pPr>
    </w:p>
    <w:p>
      <w:pPr>
        <w:ind w:left="980" w:right="3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ATE market, including the automotive, consumer electronics, consumer product packaging, defense/aerospace, energy, fiber optics, industrial, telecommunications and other markets.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type w:val="continuous"/>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56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92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12,634</w:t>
            </w:r>
          </w:p>
        </w:tc>
        <w:tc>
          <w:tcPr>
            <w:tcW w:w="9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13,234</w:t>
            </w:r>
          </w:p>
        </w:tc>
      </w:tr>
      <w:tr>
        <w:trPr>
          <w:trHeight w:val="215"/>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100" w:type="dxa"/>
            <w:vAlign w:val="bottom"/>
          </w:tcPr>
          <w:p>
            <w:pPr>
              <w:spacing w:after="0"/>
              <w:rPr>
                <w:sz w:val="18"/>
                <w:szCs w:val="18"/>
                <w:color w:val="auto"/>
              </w:rPr>
            </w:pPr>
          </w:p>
        </w:tc>
        <w:tc>
          <w:tcPr>
            <w:tcW w:w="92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18,062</w:t>
            </w:r>
          </w:p>
        </w:tc>
        <w:tc>
          <w:tcPr>
            <w:tcW w:w="9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18,871</w:t>
            </w:r>
          </w:p>
        </w:tc>
      </w:tr>
      <w:tr>
        <w:trPr>
          <w:trHeight w:val="20"/>
        </w:trPr>
        <w:tc>
          <w:tcPr>
            <w:tcW w:w="7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Earnings (loss) before income tax expense (benefit):</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920" w:type="dxa"/>
            <w:vAlign w:val="bottom"/>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tcPr>
          <w:p>
            <w:pPr>
              <w:spacing w:after="0"/>
              <w:rPr>
                <w:sz w:val="18"/>
                <w:szCs w:val="18"/>
                <w:color w:val="auto"/>
              </w:rPr>
            </w:pPr>
          </w:p>
        </w:tc>
        <w:tc>
          <w:tcPr>
            <w:tcW w:w="9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15"/>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1,292</w:t>
            </w:r>
          </w:p>
        </w:tc>
      </w:tr>
      <w:tr>
        <w:trPr>
          <w:trHeight w:val="215"/>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49"/>
        </w:trPr>
        <w:tc>
          <w:tcPr>
            <w:tcW w:w="7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6"/>
        </w:trPr>
        <w:tc>
          <w:tcPr>
            <w:tcW w:w="710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Net earnings (loss):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Thermal</w:t>
            </w:r>
          </w:p>
        </w:tc>
        <w:tc>
          <w:tcPr>
            <w:tcW w:w="92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w:t>
            </w:r>
          </w:p>
        </w:tc>
        <w:tc>
          <w:tcPr>
            <w:tcW w:w="9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r>
      <w:tr>
        <w:trPr>
          <w:trHeight w:val="215"/>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EMS</w:t>
            </w: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815</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1,005</w:t>
            </w:r>
          </w:p>
        </w:tc>
      </w:tr>
      <w:tr>
        <w:trPr>
          <w:trHeight w:val="215"/>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(568)</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r>
      <w:tr>
        <w:trPr>
          <w:trHeight w:val="209"/>
        </w:trPr>
        <w:tc>
          <w:tcPr>
            <w:tcW w:w="710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top w:val="single" w:sz="8" w:color="CCEEFF"/>
            </w:tcBorders>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20"/>
                <w:szCs w:val="20"/>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50,790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55,343</w:t>
            </w:r>
          </w:p>
        </w:tc>
      </w:tr>
      <w:tr>
        <w:trPr>
          <w:trHeight w:val="215"/>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6,692</w:t>
            </w:r>
          </w:p>
        </w:tc>
      </w:tr>
      <w:tr>
        <w:trPr>
          <w:trHeight w:val="215"/>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0" w:type="dxa"/>
            <w:vAlign w:val="bottom"/>
          </w:tcPr>
          <w:p>
            <w:pPr>
              <w:spacing w:after="0"/>
              <w:rPr>
                <w:sz w:val="18"/>
                <w:szCs w:val="18"/>
                <w:color w:val="auto"/>
              </w:rPr>
            </w:pPr>
          </w:p>
        </w:tc>
      </w:tr>
      <w:tr>
        <w:trPr>
          <w:trHeight w:val="229"/>
        </w:trPr>
        <w:tc>
          <w:tcPr>
            <w:tcW w:w="7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61,442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67,187</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ind w:left="980" w:right="280"/>
        <w:spacing w:after="0" w:line="280" w:lineRule="auto"/>
        <w:rPr>
          <w:sz w:val="20"/>
          <w:szCs w:val="20"/>
          <w:color w:val="auto"/>
        </w:rPr>
      </w:pPr>
      <w:r>
        <w:rPr>
          <w:rFonts w:ascii="Times New Roman" w:cs="Times New Roman" w:eastAsia="Times New Roman" w:hAnsi="Times New Roman"/>
          <w:sz w:val="18"/>
          <w:szCs w:val="18"/>
          <w:color w:val="auto"/>
        </w:rPr>
        <w:t>The following table provides information about our geographic areas of operation. Net revenues from unaffiliated customers are based on the location to which the goods are shipped.</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5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1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6,543</w:t>
            </w:r>
          </w:p>
        </w:tc>
      </w:tr>
      <w:tr>
        <w:trPr>
          <w:trHeight w:val="215"/>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100" w:type="dxa"/>
            <w:vAlign w:val="bottom"/>
          </w:tcPr>
          <w:p>
            <w:pPr>
              <w:spacing w:after="0"/>
              <w:rPr>
                <w:sz w:val="18"/>
                <w:szCs w:val="18"/>
                <w:color w:val="auto"/>
              </w:rPr>
            </w:pP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1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18,871</w:t>
            </w:r>
          </w:p>
        </w:tc>
      </w:tr>
      <w:tr>
        <w:trPr>
          <w:trHeight w:val="20"/>
        </w:trPr>
        <w:tc>
          <w:tcPr>
            <w:tcW w:w="7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20"/>
                <w:szCs w:val="20"/>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2,327</w:t>
            </w:r>
          </w:p>
        </w:tc>
      </w:tr>
      <w:tr>
        <w:trPr>
          <w:trHeight w:val="215"/>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r>
      <w:tr>
        <w:trPr>
          <w:trHeight w:val="209"/>
        </w:trPr>
        <w:tc>
          <w:tcPr>
            <w:tcW w:w="7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tcBorders>
              <w:top w:val="single" w:sz="8" w:color="CCEEFF"/>
            </w:tcBorders>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980" w:hanging="972"/>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7" w:lineRule="exact"/>
        <w:rPr>
          <w:rFonts w:ascii="Times New Roman" w:cs="Times New Roman" w:eastAsia="Times New Roman" w:hAnsi="Times New Roman"/>
          <w:sz w:val="18"/>
          <w:szCs w:val="18"/>
          <w:b w:val="1"/>
          <w:bCs w:val="1"/>
          <w:color w:val="auto"/>
        </w:rPr>
      </w:pPr>
    </w:p>
    <w:p>
      <w:pPr>
        <w:ind w:left="980" w:right="2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8, 2019, we executed an amendment to the lease for our facility in Mansfield, Massachusetts which extended the term of the lease for an additional forty months to December 31, 2024, and expanded the amount of leased space by approximately 6,100 square feet. The current rate per square foot which is in place through August 31, 2021 (the original expiration date of the lease) did not change. After August 31, 2021, there are predetermined fixed escalations of the rate as outlined in the amendment. At the effective date of this modification, we will record an increase in our ROU assets and operating lease liabilities of approximately $1,831.</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and Forward-Looking Statements</w:t>
      </w:r>
    </w:p>
    <w:p>
      <w:pPr>
        <w:spacing w:after="0" w:line="228" w:lineRule="exact"/>
        <w:rPr>
          <w:sz w:val="20"/>
          <w:szCs w:val="20"/>
          <w:color w:val="auto"/>
        </w:rPr>
      </w:pPr>
    </w:p>
    <w:p>
      <w:pPr>
        <w:ind w:left="600" w:right="60"/>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report and management’s discussion and analysis (“MD&amp;A”) contains statements relating to possible future events and results that are considered "forward-looking statements" within the meaning of the Private Securities Litigation Reform Act of 1995, as amended. These statements can often be identified by the use of forward-looking terminology such as "believes," "expects," "intends," "may," "will," "should," “plans” or "anticipates" or similar terminology. See Part I, Item 1 - "Business - Cautionary Statement Regarding Forward-Looking Statements" in our 2018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and MD&amp;A to reflect events or circumstances after the date hereof or to reflect the occurrence of anticipated or unanticipated events.</w:t>
      </w:r>
    </w:p>
    <w:p>
      <w:pPr>
        <w:spacing w:after="0" w:line="190" w:lineRule="exact"/>
        <w:rPr>
          <w:sz w:val="20"/>
          <w:szCs w:val="20"/>
          <w:color w:val="auto"/>
        </w:rPr>
      </w:pPr>
    </w:p>
    <w:p>
      <w:pPr>
        <w:ind w:left="600"/>
        <w:spacing w:after="0" w:line="253" w:lineRule="auto"/>
        <w:rPr>
          <w:sz w:val="20"/>
          <w:szCs w:val="20"/>
          <w:color w:val="auto"/>
        </w:rPr>
      </w:pPr>
      <w:r>
        <w:rPr>
          <w:rFonts w:ascii="Times New Roman" w:cs="Times New Roman" w:eastAsia="Times New Roman" w:hAnsi="Times New Roman"/>
          <w:sz w:val="18"/>
          <w:szCs w:val="18"/>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include, but are not limited to indications of a change in the market cycles in the semiconductor and ATE markets or other markets we serve; changes in business conditions and general economic conditions both domestically and globally; changes in the demand for semiconductors, generally; the success of our strategy to diversify our business by entering markets outside the semiconductor or ATE markets; the possibility of future acquisitions or dispositions and the successful integration of any acquired operations; the ability to borrow funds or raise capital to finance major potential acquisitions; changes in the rates of, and timing of, capital expenditures by our customers; progress of product development programs; increases in raw material and fabrication costs associated with our products; and other risk factors included in Part I, Item 1A - "Risk Factors" in our 2018 Form 10-K. Material changes to such risk factors may be reported in subsequent Quarterly Reports on Form 10-Q in Part II, Item 1A.</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MD&amp;A should be read in conjunction with the accompanying consolidated financial statements.</w:t>
      </w:r>
    </w:p>
    <w:p>
      <w:pPr>
        <w:spacing w:after="0" w:line="224" w:lineRule="exact"/>
        <w:rPr>
          <w:sz w:val="20"/>
          <w:szCs w:val="20"/>
          <w:color w:val="auto"/>
        </w:rPr>
      </w:pPr>
    </w:p>
    <w:p>
      <w:pPr>
        <w:ind w:left="600" w:right="160"/>
        <w:spacing w:after="0" w:line="253" w:lineRule="auto"/>
        <w:rPr>
          <w:sz w:val="20"/>
          <w:szCs w:val="20"/>
          <w:color w:val="auto"/>
        </w:rPr>
      </w:pPr>
      <w:r>
        <w:rPr>
          <w:rFonts w:ascii="Times New Roman" w:cs="Times New Roman" w:eastAsia="Times New Roman" w:hAnsi="Times New Roman"/>
          <w:sz w:val="18"/>
          <w:szCs w:val="18"/>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 In May 2017, we acquired Ambrell Corporation (“Ambrell”), which has historically sold its products almost exclusively to customers in the industrial market, which is a non-semiconductor market. The acquisition of Ambrell has reduced our dependence on customers in the semiconductor market and increased our orders and net revenues from markets outside the semiconductor market. We expect that our future orders and net revenues will be approximately equally split between the semiconductor and non-semiconductor markets.</w:t>
      </w:r>
    </w:p>
    <w:p>
      <w:pPr>
        <w:spacing w:after="0" w:line="187" w:lineRule="exact"/>
        <w:rPr>
          <w:sz w:val="20"/>
          <w:szCs w:val="20"/>
          <w:color w:val="auto"/>
        </w:rPr>
      </w:pPr>
    </w:p>
    <w:p>
      <w:pPr>
        <w:ind w:left="600" w:right="180"/>
        <w:spacing w:after="0" w:line="253" w:lineRule="auto"/>
        <w:rPr>
          <w:sz w:val="20"/>
          <w:szCs w:val="20"/>
          <w:color w:val="auto"/>
        </w:rPr>
      </w:pPr>
      <w:r>
        <w:rPr>
          <w:rFonts w:ascii="Times New Roman" w:cs="Times New Roman" w:eastAsia="Times New Roman" w:hAnsi="Times New Roman"/>
          <w:sz w:val="18"/>
          <w:szCs w:val="18"/>
          <w:color w:val="auto"/>
        </w:rPr>
        <w:t>In the past, the semiconductor market has been highly cyclical with recurring periods of oversupply, which often have a severe impact on the semiconductor market's demand for ATE, including the products we manufacture. This cyclicality can cause wide fluctuations in both our orders and net revenues and, depending on our ability to react quickly to these shifts in demand, can significantly impact our results of operations. Semiconductor and ATE market cycles are difficult to predict and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90" w:lineRule="exact"/>
        <w:rPr>
          <w:sz w:val="20"/>
          <w:szCs w:val="20"/>
          <w:color w:val="auto"/>
        </w:rPr>
      </w:pPr>
    </w:p>
    <w:p>
      <w:pPr>
        <w:jc w:val="both"/>
        <w:ind w:left="600" w:right="220"/>
        <w:spacing w:after="0" w:line="265" w:lineRule="auto"/>
        <w:rPr>
          <w:sz w:val="20"/>
          <w:szCs w:val="20"/>
          <w:color w:val="auto"/>
        </w:rPr>
      </w:pPr>
      <w:r>
        <w:rPr>
          <w:rFonts w:ascii="Times New Roman" w:cs="Times New Roman" w:eastAsia="Times New Roman" w:hAnsi="Times New Roman"/>
          <w:sz w:val="18"/>
          <w:szCs w:val="18"/>
          <w:color w:val="auto"/>
        </w:rPr>
        <w:t>In addition to being cyclical, the ATE market has also developed a seasonal pattern, with the second and third quarters being the periods of strong demand and the first and fourth quarters being periods of weakened demand. These periods of heightened or reduced demand can shift depending on various factors impacting both our customers and the markets that we serve.</w:t>
      </w:r>
    </w:p>
    <w:p>
      <w:pPr>
        <w:spacing w:after="0" w:line="176" w:lineRule="exact"/>
        <w:rPr>
          <w:sz w:val="20"/>
          <w:szCs w:val="20"/>
          <w:color w:val="auto"/>
        </w:rPr>
      </w:pPr>
    </w:p>
    <w:p>
      <w:pPr>
        <w:ind w:left="600" w:right="240"/>
        <w:spacing w:after="0" w:line="260" w:lineRule="auto"/>
        <w:rPr>
          <w:sz w:val="20"/>
          <w:szCs w:val="20"/>
          <w:color w:val="auto"/>
        </w:rPr>
      </w:pPr>
      <w:r>
        <w:rPr>
          <w:rFonts w:ascii="Times New Roman" w:cs="Times New Roman" w:eastAsia="Times New Roman" w:hAnsi="Times New Roman"/>
          <w:sz w:val="18"/>
          <w:szCs w:val="18"/>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280"/>
          </w:cols>
          <w:pgMar w:left="240" w:top="112" w:right="37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600"/>
        <w:spacing w:after="0" w:line="252" w:lineRule="auto"/>
        <w:rPr>
          <w:sz w:val="20"/>
          <w:szCs w:val="20"/>
          <w:color w:val="auto"/>
        </w:rPr>
      </w:pPr>
      <w:r>
        <w:rPr>
          <w:rFonts w:ascii="Times New Roman" w:cs="Times New Roman" w:eastAsia="Times New Roman" w:hAnsi="Times New Roman"/>
          <w:sz w:val="18"/>
          <w:szCs w:val="18"/>
          <w:color w:val="auto"/>
        </w:rPr>
        <w:t>As part of our ongoing strategy to reduce the impact of semiconductor and ATE market volatility on our business operations, we continue to diversify our served markets to address the thermal test requirements of several other markets outside the semiconductor market. These include the automotive, consumer electronics, consumer product packaging, defense/aerospace, energy, fiber optics, industrial, telecommunications and other markets. We believe that these markets usually are less cyclical than the semiconductor and ATE markets. While market share statistics exist for some of the markets we serve outside the semiconductor market, due to the nature of our highly specialized product offerings in these non-semiconductor markets, we do not expect broad market penetration in many of these markets and, therefore, do not anticipate developing meaningful market shares in these non-semiconductor markets. In addition, our orders and net revenues in any given period in these markets do not necessarily reflect the overall trends in these non-semiconductor markets due to our limited market shares. Consequently, we are continuing to evaluate buying patterns and opportunities for growth in these non-semiconductor markets that may affect our performance. The level of our orders and net revenues from these non-semiconductor markets has varied in the past, and we expect will vary significantly in the future, as we work to build our presence in these markets and establish new markets for our products.</w:t>
      </w:r>
    </w:p>
    <w:p>
      <w:pPr>
        <w:spacing w:after="0" w:line="193" w:lineRule="exact"/>
        <w:rPr>
          <w:sz w:val="20"/>
          <w:szCs w:val="20"/>
          <w:color w:val="auto"/>
        </w:rPr>
      </w:pPr>
    </w:p>
    <w:p>
      <w:pPr>
        <w:ind w:left="600" w:right="20"/>
        <w:spacing w:after="0" w:line="270" w:lineRule="auto"/>
        <w:rPr>
          <w:sz w:val="20"/>
          <w:szCs w:val="20"/>
          <w:color w:val="auto"/>
        </w:rPr>
      </w:pPr>
      <w:r>
        <w:rPr>
          <w:rFonts w:ascii="Times New Roman" w:cs="Times New Roman" w:eastAsia="Times New Roman" w:hAnsi="Times New Roman"/>
          <w:sz w:val="17"/>
          <w:szCs w:val="17"/>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Orders and Backlog</w:t>
      </w:r>
    </w:p>
    <w:p>
      <w:pPr>
        <w:spacing w:after="0" w:line="2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orders received by operating segment and market (in thousands).</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Months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(5,680)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(3,603)</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(3,013)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(2,888)</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(8,693)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(6,491)</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 market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(6,958)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(5,263)</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Non-semiconductor market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(1,735)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(1,228)</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(8,693)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(6,491)</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20" w:right="180"/>
        <w:spacing w:after="0" w:line="260" w:lineRule="auto"/>
        <w:rPr>
          <w:sz w:val="20"/>
          <w:szCs w:val="20"/>
          <w:color w:val="auto"/>
        </w:rPr>
      </w:pPr>
      <w:r>
        <w:rPr>
          <w:rFonts w:ascii="Times New Roman" w:cs="Times New Roman" w:eastAsia="Times New Roman" w:hAnsi="Times New Roman"/>
          <w:sz w:val="18"/>
          <w:szCs w:val="18"/>
          <w:color w:val="auto"/>
        </w:rPr>
        <w:t>Total consolidated orders for the three months ended March 31, 2019 were $11.9 million compared to $20.6 million for the same period in 2018 and $18.4 million for the three months ended December 31, 2018. Orders from customers in non-semiconductor markets for the three months ended March 31, 2019 were $6.3 million, or 53% of total consolidated orders, compared to $8.1 million, or 39% of total consolidated orders for the same period in 2018 and $7.6 million or 41% of total consolidated orders for the three months ended December 31, 2018.</w:t>
      </w:r>
    </w:p>
    <w:p>
      <w:pPr>
        <w:spacing w:after="0" w:line="180" w:lineRule="exact"/>
        <w:rPr>
          <w:sz w:val="20"/>
          <w:szCs w:val="20"/>
          <w:color w:val="auto"/>
        </w:rPr>
      </w:pPr>
    </w:p>
    <w:p>
      <w:pPr>
        <w:ind w:left="620" w:right="60"/>
        <w:spacing w:after="0" w:line="255" w:lineRule="auto"/>
        <w:rPr>
          <w:sz w:val="20"/>
          <w:szCs w:val="20"/>
          <w:color w:val="auto"/>
        </w:rPr>
      </w:pPr>
      <w:r>
        <w:rPr>
          <w:rFonts w:ascii="Times New Roman" w:cs="Times New Roman" w:eastAsia="Times New Roman" w:hAnsi="Times New Roman"/>
          <w:sz w:val="18"/>
          <w:szCs w:val="18"/>
          <w:color w:val="auto"/>
        </w:rPr>
        <w:t>The significant decrease in our consolidated orders during the three months ended March 31, 2019 as compared to the same period in 2018 and to the three months ended December 31, 2018 primarily represents cyclical and seasonal softening in the semiconductor market in both the ATE submarket and front end manufacturing, where over half of our business is derived. Orders were also affected by reduced demand in some of our non-semiconductor markets, specifically the optical transceivers segment within the telecommunications market, which we believe primarily reflects technological changes occurring in that market. In addition to market specific drivers, we believe slowing growth in the global economy has also contributed to the declines in demand which we have experienced.</w:t>
      </w:r>
    </w:p>
    <w:p>
      <w:pPr>
        <w:spacing w:after="0" w:line="1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140"/>
          </w:cols>
          <w:pgMar w:left="240" w:top="111" w:right="51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At March 31, 2019, our backlog of unfilled orders for all products was approximately $7.2 million compared with approximately $15.4 million at March 31, 2018 and $13.4 million at December 31, 2018. Our backlog includes customer orders which we have accepted, substantially all of which we expect to deliver in 2019. The significant decline in our backlog at March 31, 2019 as compared to both March 31, 2018 and December 31, 2018 primarily reflects the impact of the aforementioned weakness in the semiconductor market and, to a lesser extent, reduced demand in certain of the non-semiconductor markets that we serve.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Revenues</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net revenues by operating segment and market (in thousands).</w:t>
      </w:r>
    </w:p>
    <w:p>
      <w:pPr>
        <w:spacing w:after="0" w:line="220"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20" w:type="dxa"/>
            <w:vAlign w:val="bottom"/>
          </w:tcPr>
          <w:p>
            <w:pPr>
              <w:spacing w:after="0"/>
              <w:rPr>
                <w:sz w:val="20"/>
                <w:szCs w:val="20"/>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(600)</w:t>
            </w: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14,145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(1,511)</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(209)</w:t>
            </w:r>
          </w:p>
        </w:tc>
        <w:tc>
          <w:tcPr>
            <w:tcW w:w="5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(809)</w:t>
            </w: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18,435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 market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(428)</w:t>
            </w: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10,381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Non-semiconductor market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(381)</w:t>
            </w:r>
          </w:p>
        </w:tc>
        <w:tc>
          <w:tcPr>
            <w:tcW w:w="5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8,054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(809)</w:t>
            </w: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18,435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20"/>
        <w:spacing w:after="0" w:line="254" w:lineRule="auto"/>
        <w:rPr>
          <w:sz w:val="20"/>
          <w:szCs w:val="20"/>
          <w:color w:val="auto"/>
        </w:rPr>
      </w:pPr>
      <w:r>
        <w:rPr>
          <w:rFonts w:ascii="Times New Roman" w:cs="Times New Roman" w:eastAsia="Times New Roman" w:hAnsi="Times New Roman"/>
          <w:sz w:val="18"/>
          <w:szCs w:val="18"/>
          <w:color w:val="auto"/>
        </w:rPr>
        <w:t>Total consolidated net revenues for the three months ended March 31, 2019 were $18.1 million compared to $18.9 million for the same period in 2018 and $18.4 million for the three months ended December 31, 2018. We believe the decrease in our consolidated net revenues as compared to the same period in 2018 primarily reflects the aforementioned softening in the semiconductor market, reduced demand in certain of the non-semiconductor markets that we serve and, to a lesser extent, slowing growth in the global economy. The increase in the net revenues of our EMS segment for the three months ended March 31, 2019 as compared to the three months ended December 31, 2018 primarily reflects a very large order we received from one of our customers at the end of December 2018, all of which shipped during the first three months of 2019. We do not expect this to repeat in the near term, as this was driven by a one-time large order our customer had received from one of its customers related to a new product roll-out.</w:t>
      </w:r>
    </w:p>
    <w:p>
      <w:pPr>
        <w:spacing w:after="0" w:line="186" w:lineRule="exact"/>
        <w:rPr>
          <w:sz w:val="20"/>
          <w:szCs w:val="20"/>
          <w:color w:val="auto"/>
        </w:rPr>
      </w:pPr>
    </w:p>
    <w:p>
      <w:pPr>
        <w:ind w:left="620" w:right="220"/>
        <w:spacing w:after="0" w:line="280" w:lineRule="auto"/>
        <w:rPr>
          <w:sz w:val="20"/>
          <w:szCs w:val="20"/>
          <w:color w:val="auto"/>
        </w:rPr>
      </w:pPr>
      <w:r>
        <w:rPr>
          <w:rFonts w:ascii="Times New Roman" w:cs="Times New Roman" w:eastAsia="Times New Roman" w:hAnsi="Times New Roman"/>
          <w:sz w:val="18"/>
          <w:szCs w:val="18"/>
          <w:color w:val="auto"/>
        </w:rPr>
        <w:t>As a percent of our total consolidated net revenues, net revenues from customers in non-semiconductor markets were 44% for each of the three months ended March 31, 2019 and 2018 and the three months ended December 31, 2018.</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u w:val="single" w:color="auto"/>
          <w:color w:val="auto"/>
        </w:rPr>
        <w:t>Product/Customer Mix</w:t>
      </w:r>
    </w:p>
    <w:p>
      <w:pPr>
        <w:spacing w:after="0" w:line="226" w:lineRule="exact"/>
        <w:rPr>
          <w:sz w:val="20"/>
          <w:szCs w:val="20"/>
          <w:color w:val="auto"/>
        </w:rPr>
      </w:pPr>
    </w:p>
    <w:p>
      <w:pPr>
        <w:ind w:left="620" w:right="120"/>
        <w:spacing w:after="0" w:line="260" w:lineRule="auto"/>
        <w:rPr>
          <w:sz w:val="20"/>
          <w:szCs w:val="20"/>
          <w:color w:val="auto"/>
        </w:rPr>
      </w:pPr>
      <w:r>
        <w:rPr>
          <w:rFonts w:ascii="Times New Roman" w:cs="Times New Roman" w:eastAsia="Times New Roman" w:hAnsi="Times New Roman"/>
          <w:sz w:val="18"/>
          <w:szCs w:val="18"/>
          <w:color w:val="auto"/>
        </w:rPr>
        <w:t>Both of our operating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80" w:lineRule="exact"/>
        <w:rPr>
          <w:sz w:val="20"/>
          <w:szCs w:val="20"/>
          <w:color w:val="auto"/>
        </w:rPr>
      </w:pPr>
    </w:p>
    <w:p>
      <w:pPr>
        <w:ind w:left="620"/>
        <w:spacing w:after="0" w:line="254" w:lineRule="auto"/>
        <w:rPr>
          <w:sz w:val="20"/>
          <w:szCs w:val="20"/>
          <w:color w:val="auto"/>
        </w:rPr>
      </w:pPr>
      <w:r>
        <w:rPr>
          <w:rFonts w:ascii="Times New Roman" w:cs="Times New Roman" w:eastAsia="Times New Roman" w:hAnsi="Times New Roman"/>
          <w:sz w:val="18"/>
          <w:szCs w:val="18"/>
          <w:color w:val="auto"/>
        </w:rPr>
        <w:t>We sell most of our thermal test and semiconductor production test products to semiconductor manufacturers and third-party test and assembly houses (end user sales) and to ATE manufacturers (OEM sales), who ultimately resell our equipment with theirs to both semiconductor manufacturers and third-party test and assembly houses. Our Thermal segment also sells into a variety of other markets, including the automotive, consumer electronics, defense/aerospace, energy, industrial and telecommunications markets. As a result of the acquisition of Ambrell, we also sell into the consumer products packaging, fiber optics and other markets within the broader industrial market. The mix of customers during any given period will affect our gross margin due to differing sales discounts and commissions. For the three months ended March 31, 2019 and 2018, our OEM sales as a percentage of net revenues were 11% and 14%, respectively.</w:t>
      </w:r>
    </w:p>
    <w:p>
      <w:pPr>
        <w:spacing w:after="0" w:line="189" w:lineRule="exact"/>
        <w:rPr>
          <w:sz w:val="20"/>
          <w:szCs w:val="20"/>
          <w:color w:val="auto"/>
        </w:rPr>
      </w:pPr>
    </w:p>
    <w:p>
      <w:pPr>
        <w:ind w:left="620" w:right="140"/>
        <w:spacing w:after="0" w:line="257" w:lineRule="auto"/>
        <w:rPr>
          <w:sz w:val="20"/>
          <w:szCs w:val="20"/>
          <w:color w:val="auto"/>
        </w:rPr>
      </w:pPr>
      <w:r>
        <w:rPr>
          <w:rFonts w:ascii="Times New Roman" w:cs="Times New Roman" w:eastAsia="Times New Roman" w:hAnsi="Times New Roman"/>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120"/>
          </w:cols>
          <w:pgMar w:left="240" w:top="111" w:right="53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8" w:lineRule="exact"/>
        <w:rPr>
          <w:sz w:val="20"/>
          <w:szCs w:val="20"/>
          <w:color w:val="auto"/>
        </w:rPr>
      </w:pPr>
    </w:p>
    <w:p>
      <w:pPr>
        <w:jc w:val="both"/>
        <w:ind w:left="620" w:right="360"/>
        <w:spacing w:after="0" w:line="265" w:lineRule="auto"/>
        <w:rPr>
          <w:sz w:val="20"/>
          <w:szCs w:val="20"/>
          <w:color w:val="auto"/>
        </w:rPr>
      </w:pPr>
      <w:r>
        <w:rPr>
          <w:rFonts w:ascii="Times New Roman" w:cs="Times New Roman" w:eastAsia="Times New Roman" w:hAnsi="Times New Roman"/>
          <w:sz w:val="18"/>
          <w:szCs w:val="18"/>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March 31, 2019 Compared to Three Months Ended March 31, 2018</w:t>
      </w:r>
    </w:p>
    <w:p>
      <w:pPr>
        <w:spacing w:after="0" w:line="224" w:lineRule="exact"/>
        <w:rPr>
          <w:sz w:val="20"/>
          <w:szCs w:val="20"/>
          <w:color w:val="auto"/>
        </w:rPr>
      </w:pPr>
    </w:p>
    <w:p>
      <w:pPr>
        <w:jc w:val="both"/>
        <w:ind w:left="620" w:right="32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were $18.1 million for the three months ended March 31, 2019 compared to $18.9 million for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a decrease of $809,000, or 4%. We believe the decrease in our net revenues during the first quarter of 2019 primarily reflects the factors previously discussed in the Overview.</w:t>
      </w:r>
    </w:p>
    <w:p>
      <w:pPr>
        <w:spacing w:after="0" w:line="173" w:lineRule="exact"/>
        <w:rPr>
          <w:sz w:val="20"/>
          <w:szCs w:val="20"/>
          <w:color w:val="auto"/>
        </w:rPr>
      </w:pPr>
    </w:p>
    <w:p>
      <w:pPr>
        <w:ind w:left="620"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consolidated gross margin was 49% of net revenues for the three months ended March 31, 2019 as compared to 50% of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for the same period in 2018. The decrease in our gross margin as a percentage of net revenues primarily reflects an increase in our fixed operating costs. Although our fixed operating costs only increased $28,000 in absolute dollar terms, they represented 15% of net revenues for the three months ended March 31, 2019 as compared to 14% of net revenues for the same period in 2018. This is a result of not being as fully absorbed by the lower net revenues levels in the first three months of 2019. The $28,000 increase in our fixed operating costs primarily reflects increased salary and benefits expense for our Thermal segment which was partially offset by a reduction in facility costs in this segment.</w:t>
      </w:r>
    </w:p>
    <w:p>
      <w:pPr>
        <w:spacing w:after="0" w:line="183" w:lineRule="exact"/>
        <w:rPr>
          <w:sz w:val="20"/>
          <w:szCs w:val="20"/>
          <w:color w:val="auto"/>
        </w:rPr>
      </w:pPr>
    </w:p>
    <w:p>
      <w:pPr>
        <w:ind w:left="620"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Expense. </w:t>
      </w:r>
      <w:r>
        <w:rPr>
          <w:rFonts w:ascii="Times New Roman" w:cs="Times New Roman" w:eastAsia="Times New Roman" w:hAnsi="Times New Roman"/>
          <w:sz w:val="18"/>
          <w:szCs w:val="18"/>
          <w:color w:val="auto"/>
        </w:rPr>
        <w:t>Selling expense was $2.4 million for the three months ended March 31, 2019 compared to $2.5 million for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a decrease of $102,000, or 4%. The decrease primarily reflects lower levels of payroll tax as a result of a reduction in commissions paid to internal sales employees in our Thermal segment. The reduction in commissions reflects changes in product mix as well as the lower net revenue levels achieved for the three months ended March 31, 2019 compared to the same period in 2018. To a lesser extent, we also had reductions in consolidated warranty costs, advertising expenditures and travel costs.</w:t>
      </w:r>
    </w:p>
    <w:p>
      <w:pPr>
        <w:spacing w:after="0" w:line="179" w:lineRule="exact"/>
        <w:rPr>
          <w:sz w:val="20"/>
          <w:szCs w:val="20"/>
          <w:color w:val="auto"/>
        </w:rPr>
      </w:pPr>
    </w:p>
    <w:p>
      <w:pPr>
        <w:ind w:left="620" w:right="2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Development Expense. </w:t>
      </w:r>
      <w:r>
        <w:rPr>
          <w:rFonts w:ascii="Times New Roman" w:cs="Times New Roman" w:eastAsia="Times New Roman" w:hAnsi="Times New Roman"/>
          <w:sz w:val="18"/>
          <w:szCs w:val="18"/>
          <w:color w:val="auto"/>
        </w:rPr>
        <w:t>Engineering and product development expense was relatively unchanged at $1.3 million for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2019 and 2018. Increases in salary and benefits expense in our Thermal segment were offset by a reduction in consolidated spending on materials used in new product development and legal fees paid related to our intellectual property.</w:t>
      </w:r>
    </w:p>
    <w:p>
      <w:pPr>
        <w:spacing w:after="0" w:line="173" w:lineRule="exact"/>
        <w:rPr>
          <w:sz w:val="20"/>
          <w:szCs w:val="20"/>
          <w:color w:val="auto"/>
        </w:rPr>
      </w:pPr>
    </w:p>
    <w:p>
      <w:pPr>
        <w:ind w:left="620" w:right="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$3.7 million for the three months ended March 31, 2019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 million for the same period in 2018, an increase of $747,000, or 25%. The increase primarily reflects higher levels of fees paid to third party professionals who assist us in a variety of strategic and compliance related matters. To a lesser extent there was also an increase in salary and benefits expense, reflecting hiring new employees, and higher levels of amortization expense related to intangible assets.</w:t>
      </w:r>
    </w:p>
    <w:p>
      <w:pPr>
        <w:spacing w:after="0" w:line="180"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Liability Adjustment. </w:t>
      </w:r>
      <w:r>
        <w:rPr>
          <w:rFonts w:ascii="Times New Roman" w:cs="Times New Roman" w:eastAsia="Times New Roman" w:hAnsi="Times New Roman"/>
          <w:sz w:val="18"/>
          <w:szCs w:val="18"/>
          <w:color w:val="auto"/>
        </w:rPr>
        <w:t>During the three months ended March 31, 2018, we recorded an increase in the fair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contingent consideration of $1.7 million. This liability is a result of our acquisition of Ambrell in May 2017 and is discussed further in Notes 3 and 4 to our consolidated financial statements in our 2018 Form 10-K. There was no similar adjustment for the three months ended March 31, 2019 as we no longer have a contingent consideration liability.</w:t>
      </w:r>
    </w:p>
    <w:p>
      <w:pPr>
        <w:spacing w:after="0" w:line="180" w:lineRule="exact"/>
        <w:rPr>
          <w:sz w:val="20"/>
          <w:szCs w:val="20"/>
          <w:color w:val="auto"/>
        </w:rPr>
      </w:pPr>
    </w:p>
    <w:p>
      <w:pPr>
        <w:ind w:left="620" w:right="2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three months ended March 31, 2019, we recorded income tax expense of $324,000 compared to $601,000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2018. Our effective tax rate was 22% for the three months ended March 31, 2019 compared to 61% for the same period in 2018. On a quarterly basis, we record income tax expense or benefit based on the expected annualized effective tax rate for the various taxing jurisdictions in which we operate our businesses. The higher effective tax rate for the three months ended March 31, 2018 reflects recording the aforementioned increase of $1.7 million in our liability for contingent consideration during that period. This expense was not deductible for tax purposes.</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8" w:lineRule="exact"/>
        <w:rPr>
          <w:sz w:val="20"/>
          <w:szCs w:val="20"/>
          <w:color w:val="auto"/>
        </w:rPr>
      </w:pPr>
    </w:p>
    <w:p>
      <w:pPr>
        <w:ind w:left="620" w:right="460"/>
        <w:spacing w:after="0" w:line="265" w:lineRule="auto"/>
        <w:rPr>
          <w:sz w:val="20"/>
          <w:szCs w:val="20"/>
          <w:color w:val="auto"/>
        </w:rPr>
      </w:pPr>
      <w:r>
        <w:rPr>
          <w:rFonts w:ascii="Times New Roman" w:cs="Times New Roman" w:eastAsia="Times New Roman" w:hAnsi="Times New Roman"/>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140"/>
          </w:cols>
          <w:pgMar w:left="240" w:top="112" w:right="51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620" w:right="100"/>
        <w:spacing w:after="0" w:line="265"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Liquidity</w:t>
            </w: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1"/>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cash and cash equivalents and working capital were as follows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17,861</w:t>
            </w:r>
          </w:p>
        </w:tc>
      </w:tr>
      <w:tr>
        <w:trPr>
          <w:trHeight w:val="234"/>
        </w:trPr>
        <w:tc>
          <w:tcPr>
            <w:tcW w:w="4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14,203</w:t>
            </w:r>
          </w:p>
        </w:tc>
      </w:tr>
    </w:tbl>
    <w:p>
      <w:pPr>
        <w:spacing w:after="0" w:line="178" w:lineRule="exact"/>
        <w:rPr>
          <w:sz w:val="20"/>
          <w:szCs w:val="20"/>
          <w:color w:val="auto"/>
        </w:rPr>
      </w:pPr>
    </w:p>
    <w:p>
      <w:pPr>
        <w:ind w:left="600" w:right="140"/>
        <w:spacing w:after="0" w:line="273" w:lineRule="auto"/>
        <w:rPr>
          <w:sz w:val="20"/>
          <w:szCs w:val="20"/>
          <w:color w:val="auto"/>
        </w:rPr>
      </w:pPr>
      <w:r>
        <w:rPr>
          <w:rFonts w:ascii="Times New Roman" w:cs="Times New Roman" w:eastAsia="Times New Roman" w:hAnsi="Times New Roman"/>
          <w:sz w:val="17"/>
          <w:szCs w:val="17"/>
          <w:color w:val="auto"/>
        </w:rPr>
        <w:t>As of March 31, 2019, $3.6 million, or 44%, of our cash and cash equivalents was held by our foreign subsidiaries. The earnout payable of $2.1 million on our balance sheet at March 31, 2019 was paid in April 2019, as further described below. We currently expect our cash and cash equivalents and projected future cash flow to be sufficient to support our short term working capital requirements and other corporate requirements. However, we may need additional financial resources, which could include debt or equity financings,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4" w:lineRule="exact"/>
        <w:rPr>
          <w:sz w:val="20"/>
          <w:szCs w:val="20"/>
          <w:color w:val="auto"/>
        </w:rPr>
      </w:pPr>
    </w:p>
    <w:p>
      <w:pPr>
        <w:ind w:left="620"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used in operations for the three months ended March 31, 2019 was $9.5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2019, we paid $10.0 million of the $12.2 million earnout payable that was on our balance sheet at December 31, 2018. This earnout payable is related to the aforementioned acquisition of Ambrell. The remaining balance of the earnout was paid in April 2019. For the three months ended March 31, 2019 we recorded net earnings of $1.1 million. During this same period, we had non-cash charges of $804,000 for depreciation and amortization which included $306,000 of amortization related to our right-of-use assets. These right-of-use assets, and the related operating lease liabilities, were established at January 1, 2019 in connection with the adoption of ASC 842, as discussed further in Notes 2 and 7 to our consolidated financial statements. During the three months ended March 31, 2019, we also recorded $183,000 for amortization of deferred compensation expense related to stock-based awards. Inventories and accounts payable increased $737,000 and $721,000, respectively, during the three months ended March 31, 2019. Accrued wages and benefits declined $1.2 million during the first three months of 2019, primarily reflecting the payout of profit-related bonuses that had been accrued at December 31, 2018 on our results for the year.</w:t>
      </w:r>
    </w:p>
    <w:p>
      <w:pPr>
        <w:spacing w:after="0" w:line="187" w:lineRule="exact"/>
        <w:rPr>
          <w:sz w:val="20"/>
          <w:szCs w:val="20"/>
          <w:color w:val="auto"/>
        </w:rPr>
      </w:pPr>
    </w:p>
    <w:p>
      <w:pPr>
        <w:ind w:left="620" w:right="8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During the three months ended March 31, 2019, purchases of property and equipment were $141,000. We have no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for capital expenditures for the balance of 2019; however, depending upon changes in market demand or manufacturing and sales strategies, we may make such purchases or investments as we deem necessary and appropriate.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New or Recently Adopted Accounting Standards</w:t>
      </w:r>
    </w:p>
    <w:p>
      <w:pPr>
        <w:spacing w:after="0" w:line="228" w:lineRule="exact"/>
        <w:rPr>
          <w:sz w:val="20"/>
          <w:szCs w:val="20"/>
          <w:color w:val="auto"/>
        </w:rPr>
      </w:pPr>
    </w:p>
    <w:p>
      <w:pPr>
        <w:ind w:left="620" w:right="420"/>
        <w:spacing w:after="0" w:line="280" w:lineRule="auto"/>
        <w:rPr>
          <w:sz w:val="20"/>
          <w:szCs w:val="20"/>
          <w:color w:val="auto"/>
        </w:rPr>
      </w:pPr>
      <w:r>
        <w:rPr>
          <w:rFonts w:ascii="Times New Roman" w:cs="Times New Roman" w:eastAsia="Times New Roman" w:hAnsi="Times New Roman"/>
          <w:sz w:val="18"/>
          <w:szCs w:val="18"/>
          <w:color w:val="auto"/>
        </w:rPr>
        <w:t>See the Notes to our consolidated financial statements for information concerning the implementation and impact of new or recently adopted accounting standards.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8"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March 31, 2019, there have been no significant changes to the accounting policies that we have deemed critical. These policies are more fully described in our 2018 Form 10-K.</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Off -Balance Sheet Arrangements</w:t>
      </w:r>
    </w:p>
    <w:p>
      <w:pPr>
        <w:spacing w:after="0" w:line="228" w:lineRule="exact"/>
        <w:rPr>
          <w:sz w:val="20"/>
          <w:szCs w:val="20"/>
          <w:color w:val="auto"/>
        </w:rPr>
      </w:pPr>
    </w:p>
    <w:p>
      <w:pPr>
        <w:ind w:left="620" w:right="80"/>
        <w:spacing w:after="0" w:line="265" w:lineRule="auto"/>
        <w:rPr>
          <w:sz w:val="20"/>
          <w:szCs w:val="20"/>
          <w:color w:val="auto"/>
        </w:rPr>
      </w:pPr>
      <w:r>
        <w:rPr>
          <w:rFonts w:ascii="Times New Roman" w:cs="Times New Roman" w:eastAsia="Times New Roman" w:hAnsi="Times New Roman"/>
          <w:sz w:val="18"/>
          <w:szCs w:val="18"/>
          <w:color w:val="auto"/>
        </w:rPr>
        <w:t>There were no off-balance sheet arrangements during the three months ended March 31, 2019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160"/>
          </w:cols>
          <w:pgMar w:left="240" w:top="112" w:right="49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This disclosure is not required for a smaller reporting company.</w:t>
      </w:r>
    </w:p>
    <w:p>
      <w:pPr>
        <w:spacing w:after="0" w:line="200" w:lineRule="exact"/>
        <w:rPr>
          <w:sz w:val="20"/>
          <w:szCs w:val="20"/>
          <w:color w:val="auto"/>
        </w:rPr>
      </w:pPr>
    </w:p>
    <w:p>
      <w:pPr>
        <w:spacing w:after="0" w:line="235"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8" w:lineRule="exact"/>
        <w:rPr>
          <w:sz w:val="20"/>
          <w:szCs w:val="20"/>
          <w:color w:val="auto"/>
        </w:rPr>
      </w:pPr>
    </w:p>
    <w:p>
      <w:pPr>
        <w:ind w:left="620"/>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as amended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89" w:lineRule="exact"/>
        <w:rPr>
          <w:sz w:val="20"/>
          <w:szCs w:val="20"/>
          <w:color w:val="auto"/>
        </w:rPr>
      </w:pPr>
    </w:p>
    <w:p>
      <w:pPr>
        <w:ind w:left="620" w:right="300"/>
        <w:spacing w:after="0" w:line="261" w:lineRule="auto"/>
        <w:rPr>
          <w:sz w:val="20"/>
          <w:szCs w:val="20"/>
          <w:color w:val="auto"/>
        </w:rPr>
      </w:pPr>
      <w:r>
        <w:rPr>
          <w:rFonts w:ascii="Times New Roman" w:cs="Times New Roman" w:eastAsia="Times New Roman" w:hAnsi="Times New Roman"/>
          <w:sz w:val="18"/>
          <w:szCs w:val="18"/>
          <w:b w:val="1"/>
          <w:bCs w:val="1"/>
          <w:color w:val="auto"/>
        </w:rPr>
        <w:t>CEO/CFO Conclusions about the Effectiveness of the Disclosure Controls and Procedures</w:t>
      </w:r>
      <w:r>
        <w:rPr>
          <w:rFonts w:ascii="Times New Roman" w:cs="Times New Roman" w:eastAsia="Times New Roman" w:hAnsi="Times New Roman"/>
          <w:sz w:val="18"/>
          <w:szCs w:val="18"/>
          <w:color w:val="auto"/>
        </w:rPr>
        <w:t>. As required by Rule 13a-15(b),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8" w:lineRule="exact"/>
        <w:rPr>
          <w:sz w:val="20"/>
          <w:szCs w:val="20"/>
          <w:color w:val="auto"/>
        </w:rPr>
      </w:pPr>
    </w:p>
    <w:p>
      <w:pPr>
        <w:ind w:left="620" w:right="120"/>
        <w:spacing w:after="0" w:line="265"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39"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8" w:lineRule="exact"/>
        <w:rPr>
          <w:sz w:val="20"/>
          <w:szCs w:val="20"/>
          <w:color w:val="auto"/>
        </w:rPr>
      </w:pPr>
    </w:p>
    <w:p>
      <w:pPr>
        <w:ind w:left="620" w:right="460"/>
        <w:spacing w:after="0" w:line="280" w:lineRule="auto"/>
        <w:rPr>
          <w:sz w:val="20"/>
          <w:szCs w:val="20"/>
          <w:color w:val="auto"/>
        </w:rPr>
      </w:pPr>
      <w:r>
        <w:rPr>
          <w:rFonts w:ascii="Times New Roman" w:cs="Times New Roman" w:eastAsia="Times New Roman" w:hAnsi="Times New Roman"/>
          <w:sz w:val="18"/>
          <w:szCs w:val="18"/>
          <w:color w:val="auto"/>
        </w:rPr>
        <w:t>From time to time we may be a party to legal proceedings occurring in the ordinary course of business. We are not currently involved in any material legal proceedings.</w:t>
      </w:r>
    </w:p>
    <w:p>
      <w:pPr>
        <w:spacing w:after="0" w:line="3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8" w:lineRule="exact"/>
        <w:rPr>
          <w:sz w:val="20"/>
          <w:szCs w:val="20"/>
          <w:color w:val="auto"/>
        </w:rPr>
      </w:pPr>
    </w:p>
    <w:p>
      <w:pPr>
        <w:ind w:left="620" w:right="120"/>
        <w:spacing w:after="0" w:line="260" w:lineRule="auto"/>
        <w:rPr>
          <w:sz w:val="20"/>
          <w:szCs w:val="20"/>
          <w:color w:val="auto"/>
        </w:rPr>
      </w:pPr>
      <w:r>
        <w:rPr>
          <w:rFonts w:ascii="Times New Roman" w:cs="Times New Roman" w:eastAsia="Times New Roman" w:hAnsi="Times New Roman"/>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2018 Form 10-K filed with the Securities and Exchange Commission on March 26, 2019. There have been no changes from the risk factors set forth in our 2018 Form 10-K.</w:t>
      </w:r>
    </w:p>
    <w:p>
      <w:pPr>
        <w:spacing w:after="0" w:line="391"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140"/>
          </w:cols>
          <w:pgMar w:left="240" w:top="111" w:right="51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31"/>
        </w:trPr>
        <w:tc>
          <w:tcPr>
            <w:tcW w:w="108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None.</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Second Amendment to Lease Dated April 8, 2019 between Temptronic Corporation and James Campbell Company, LLC (1)</w:t>
              </w:r>
            </w:hyperlink>
          </w:p>
        </w:tc>
        <w:tc>
          <w:tcPr>
            <w:tcW w:w="980" w:type="dxa"/>
            <w:vAlign w:val="bottom"/>
            <w:gridSpan w:val="2"/>
          </w:tcPr>
          <w:p>
            <w:pPr>
              <w:spacing w:after="0"/>
              <w:rPr>
                <w:sz w:val="24"/>
                <w:szCs w:val="24"/>
                <w:color w:val="auto"/>
              </w:rPr>
            </w:pPr>
          </w:p>
        </w:tc>
      </w:tr>
      <w:tr>
        <w:trPr>
          <w:trHeight w:val="195"/>
        </w:trPr>
        <w:tc>
          <w:tcPr>
            <w:tcW w:w="7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6"/>
                <w:szCs w:val="16"/>
                <w:color w:val="auto"/>
              </w:rPr>
            </w:pPr>
          </w:p>
        </w:tc>
        <w:tc>
          <w:tcPr>
            <w:tcW w:w="9980" w:type="dxa"/>
            <w:vAlign w:val="bottom"/>
            <w:gridSpan w:val="6"/>
          </w:tcPr>
          <w:p>
            <w:pPr>
              <w:spacing w:after="0" w:line="195"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Certification of Chief Executive Officer pursuant to Rule 13a-14(a).</w:t>
              </w:r>
            </w:hyperlink>
          </w:p>
        </w:tc>
      </w:tr>
      <w:tr>
        <w:trPr>
          <w:trHeight w:val="195"/>
        </w:trPr>
        <w:tc>
          <w:tcPr>
            <w:tcW w:w="7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6"/>
                <w:szCs w:val="16"/>
                <w:color w:val="auto"/>
              </w:rPr>
            </w:pPr>
          </w:p>
        </w:tc>
        <w:tc>
          <w:tcPr>
            <w:tcW w:w="4840" w:type="dxa"/>
            <w:vAlign w:val="bottom"/>
            <w:tcBorders>
              <w:top w:val="single" w:sz="8" w:color="0000EE"/>
              <w:bottom w:val="single" w:sz="8" w:color="0000EE"/>
            </w:tcBorders>
            <w:gridSpan w:val="2"/>
          </w:tcPr>
          <w:p>
            <w:pPr>
              <w:spacing w:after="0" w:line="195"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Certification of Chief Financial Officer pursuant to Rule 13a-14(a).</w:t>
              </w:r>
            </w:hyperlink>
          </w:p>
        </w:tc>
        <w:tc>
          <w:tcPr>
            <w:tcW w:w="40" w:type="dxa"/>
            <w:vAlign w:val="bottom"/>
            <w:tcBorders>
              <w:top w:val="single" w:sz="8" w:color="0000EE"/>
            </w:tcBorders>
          </w:tcPr>
          <w:p>
            <w:pPr>
              <w:spacing w:after="0"/>
              <w:rPr>
                <w:sz w:val="16"/>
                <w:szCs w:val="16"/>
                <w:color w:val="auto"/>
              </w:rPr>
            </w:pPr>
          </w:p>
        </w:tc>
        <w:tc>
          <w:tcPr>
            <w:tcW w:w="5100" w:type="dxa"/>
            <w:vAlign w:val="bottom"/>
            <w:gridSpan w:val="3"/>
          </w:tcPr>
          <w:p>
            <w:pPr>
              <w:spacing w:after="0"/>
              <w:rPr>
                <w:sz w:val="16"/>
                <w:szCs w:val="16"/>
                <w:color w:val="auto"/>
              </w:rPr>
            </w:pPr>
          </w:p>
        </w:tc>
      </w:tr>
      <w:tr>
        <w:trPr>
          <w:trHeight w:val="195"/>
        </w:trPr>
        <w:tc>
          <w:tcPr>
            <w:tcW w:w="7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6"/>
                <w:szCs w:val="16"/>
                <w:color w:val="auto"/>
              </w:rPr>
            </w:pPr>
          </w:p>
        </w:tc>
        <w:tc>
          <w:tcPr>
            <w:tcW w:w="998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Certification of Chief Executive Officer furnished pursuant to 18 U.S.C. Section 1350, as adopted pursuant to Section 906 of the Sarbanes-</w:t>
              </w:r>
            </w:hyperlink>
          </w:p>
        </w:tc>
      </w:tr>
      <w:tr>
        <w:trPr>
          <w:trHeight w:val="195"/>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80" w:type="dxa"/>
            <w:vAlign w:val="bottom"/>
            <w:gridSpan w:val="6"/>
          </w:tcPr>
          <w:p>
            <w:pPr>
              <w:spacing w:after="0" w:line="195"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Oxley Act of 2002.</w:t>
              </w:r>
            </w:hyperlink>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7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6"/>
                <w:szCs w:val="16"/>
                <w:color w:val="auto"/>
              </w:rPr>
            </w:pPr>
          </w:p>
        </w:tc>
        <w:tc>
          <w:tcPr>
            <w:tcW w:w="9980" w:type="dxa"/>
            <w:vAlign w:val="bottom"/>
            <w:gridSpan w:val="6"/>
          </w:tcPr>
          <w:p>
            <w:pPr>
              <w:spacing w:after="0" w:line="195"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Certification of Chief Financial Officer furnished pursuant to 18 U.S.C. Section 1350, as adopted pursuant to Section 906 of the Sarbanes-</w:t>
              </w:r>
            </w:hyperlink>
          </w:p>
        </w:tc>
      </w:tr>
      <w:tr>
        <w:trPr>
          <w:trHeight w:val="195"/>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0000EE"/>
            </w:tcBorders>
            <w:gridSpan w:val="5"/>
          </w:tcPr>
          <w:p>
            <w:pPr>
              <w:spacing w:after="0" w:line="195"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Oxley Act of 2002.</w:t>
              </w:r>
            </w:hyperlink>
          </w:p>
        </w:tc>
        <w:tc>
          <w:tcPr>
            <w:tcW w:w="6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600" w:type="dxa"/>
            <w:vAlign w:val="bottom"/>
            <w:gridSpan w:val="5"/>
          </w:tcPr>
          <w:p>
            <w:pPr>
              <w:spacing w:after="0" w:line="20" w:lineRule="exact"/>
              <w:rPr>
                <w:sz w:val="1"/>
                <w:szCs w:val="1"/>
                <w:color w:val="auto"/>
              </w:rPr>
            </w:pPr>
          </w:p>
        </w:tc>
      </w:tr>
      <w:tr>
        <w:trPr>
          <w:trHeight w:val="21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Instance Document</w:t>
            </w:r>
          </w:p>
        </w:tc>
      </w:tr>
      <w:tr>
        <w:trPr>
          <w:trHeight w:val="21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101.CAL</w:t>
            </w:r>
          </w:p>
        </w:tc>
        <w:tc>
          <w:tcPr>
            <w:tcW w:w="120" w:type="dxa"/>
            <w:vAlign w:val="bottom"/>
          </w:tcPr>
          <w:p>
            <w:pPr>
              <w:spacing w:after="0"/>
              <w:rPr>
                <w:sz w:val="18"/>
                <w:szCs w:val="18"/>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5"/>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101.LAB</w:t>
            </w:r>
          </w:p>
        </w:tc>
        <w:tc>
          <w:tcPr>
            <w:tcW w:w="120" w:type="dxa"/>
            <w:vAlign w:val="bottom"/>
          </w:tcPr>
          <w:p>
            <w:pPr>
              <w:spacing w:after="0"/>
              <w:rPr>
                <w:sz w:val="18"/>
                <w:szCs w:val="18"/>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0"/>
                <w:szCs w:val="20"/>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12" w:lineRule="exact"/>
        <w:rPr>
          <w:sz w:val="20"/>
          <w:szCs w:val="20"/>
          <w:color w:val="auto"/>
        </w:rPr>
      </w:pPr>
    </w:p>
    <w:p>
      <w:pPr>
        <w:ind w:left="1100" w:hanging="796"/>
        <w:spacing w:after="0" w:line="280"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dated April 8, 2019, File No. 001-36117, filed April 12, 2019, and incorporated herein by reference.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7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8" w:lineRule="exact"/>
        <w:rPr>
          <w:sz w:val="20"/>
          <w:szCs w:val="20"/>
          <w:color w:val="auto"/>
        </w:rPr>
      </w:pPr>
    </w:p>
    <w:p>
      <w:pPr>
        <w:ind w:left="28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36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inTEST Corporation</w:t>
            </w:r>
          </w:p>
        </w:tc>
      </w:tr>
      <w:tr>
        <w:trPr>
          <w:trHeight w:val="8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7"/>
              </w:rPr>
              <w:t>May 15, 2019</w:t>
            </w:r>
          </w:p>
        </w:tc>
        <w:tc>
          <w:tcPr>
            <w:tcW w:w="840" w:type="dxa"/>
            <w:vAlign w:val="bottom"/>
          </w:tcPr>
          <w:p>
            <w:pPr>
              <w:spacing w:after="0"/>
              <w:rPr>
                <w:sz w:val="24"/>
                <w:szCs w:val="24"/>
                <w:color w:val="auto"/>
              </w:rPr>
            </w:pPr>
          </w:p>
        </w:tc>
        <w:tc>
          <w:tcPr>
            <w:tcW w:w="43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/s/ James Pelrin</w:t>
            </w:r>
          </w:p>
        </w:tc>
      </w:tr>
      <w:tr>
        <w:trPr>
          <w:trHeight w:val="20"/>
        </w:trPr>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5"/>
        </w:trPr>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James Pelrin</w:t>
            </w:r>
          </w:p>
        </w:tc>
      </w:tr>
      <w:tr>
        <w:trPr>
          <w:trHeight w:val="236"/>
        </w:trPr>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360" w:type="dxa"/>
            <w:vAlign w:val="bottom"/>
            <w:gridSpan w:val="4"/>
          </w:tcPr>
          <w:p>
            <w:pPr>
              <w:ind w:left="8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8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7"/>
              </w:rPr>
              <w:t>May 15, 2019</w:t>
            </w:r>
          </w:p>
        </w:tc>
        <w:tc>
          <w:tcPr>
            <w:tcW w:w="840" w:type="dxa"/>
            <w:vAlign w:val="bottom"/>
          </w:tcPr>
          <w:p>
            <w:pPr>
              <w:spacing w:after="0"/>
              <w:rPr>
                <w:sz w:val="24"/>
                <w:szCs w:val="24"/>
                <w:color w:val="auto"/>
              </w:rPr>
            </w:pPr>
          </w:p>
        </w:tc>
        <w:tc>
          <w:tcPr>
            <w:tcW w:w="43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/s/ Hugh T. Regan, Jr.</w:t>
            </w:r>
          </w:p>
        </w:tc>
      </w:tr>
      <w:tr>
        <w:trPr>
          <w:trHeight w:val="20"/>
        </w:trPr>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5"/>
        </w:trPr>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3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Hugh T. Regan, Jr.</w:t>
            </w:r>
          </w:p>
        </w:tc>
      </w:tr>
      <w:tr>
        <w:trPr>
          <w:trHeight w:val="236"/>
        </w:trPr>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360" w:type="dxa"/>
            <w:vAlign w:val="bottom"/>
            <w:gridSpan w:val="4"/>
          </w:tcPr>
          <w:p>
            <w:pPr>
              <w:ind w:left="860"/>
              <w:spacing w:after="0"/>
              <w:rPr>
                <w:sz w:val="20"/>
                <w:szCs w:val="20"/>
                <w:color w:val="auto"/>
              </w:rPr>
            </w:pPr>
            <w:r>
              <w:rPr>
                <w:rFonts w:ascii="Times New Roman" w:cs="Times New Roman" w:eastAsia="Times New Roman" w:hAnsi="Times New Roman"/>
                <w:sz w:val="18"/>
                <w:szCs w:val="18"/>
                <w:i w:val="1"/>
                <w:iCs w:val="1"/>
                <w:color w:val="auto"/>
                <w:w w:val="98"/>
              </w:rPr>
              <w:t>Secretary, Treasurer and Chief Financial Officer</w:t>
            </w:r>
          </w:p>
        </w:tc>
      </w:tr>
      <w:tr>
        <w:trPr>
          <w:trHeight w:val="431"/>
        </w:trPr>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60" w:type="dxa"/>
            <w:vAlign w:val="bottom"/>
            <w:gridSpan w:val="4"/>
          </w:tcPr>
          <w:p>
            <w:pPr>
              <w:ind w:left="280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0520"/>
          </w:cols>
          <w:pgMar w:left="240" w:top="111" w:right="11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James Pelrin, certify that:</w:t>
      </w:r>
    </w:p>
    <w:p>
      <w:pPr>
        <w:spacing w:after="0" w:line="224" w:lineRule="exact"/>
        <w:rPr>
          <w:sz w:val="20"/>
          <w:szCs w:val="20"/>
          <w:color w:val="auto"/>
        </w:rPr>
      </w:pPr>
    </w:p>
    <w:p>
      <w:pPr>
        <w:ind w:left="780" w:hanging="324"/>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3" w:lineRule="exact"/>
        <w:rPr>
          <w:rFonts w:ascii="Times New Roman" w:cs="Times New Roman" w:eastAsia="Times New Roman" w:hAnsi="Times New Roman"/>
          <w:sz w:val="18"/>
          <w:szCs w:val="18"/>
          <w:color w:val="auto"/>
        </w:rPr>
      </w:pPr>
    </w:p>
    <w:p>
      <w:pPr>
        <w:ind w:right="220" w:firstLine="456"/>
        <w:spacing w:after="0" w:line="311" w:lineRule="auto"/>
        <w:tabs>
          <w:tab w:leader="none" w:pos="76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180" w:firstLine="456"/>
        <w:spacing w:after="0" w:line="280" w:lineRule="auto"/>
        <w:tabs>
          <w:tab w:leader="none" w:pos="7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40" w:firstLine="456"/>
        <w:spacing w:after="0" w:line="265" w:lineRule="auto"/>
        <w:tabs>
          <w:tab w:leader="none" w:pos="7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right="260" w:firstLine="349"/>
        <w:spacing w:after="0" w:line="265" w:lineRule="auto"/>
        <w:tabs>
          <w:tab w:leader="none" w:pos="9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right="600" w:firstLine="349"/>
        <w:spacing w:after="0" w:line="265" w:lineRule="auto"/>
        <w:tabs>
          <w:tab w:leader="none" w:pos="9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780" w:firstLine="349"/>
        <w:spacing w:after="0" w:line="280" w:lineRule="auto"/>
        <w:tabs>
          <w:tab w:leader="none" w:pos="9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340" w:right="140" w:firstLine="349"/>
        <w:spacing w:after="0" w:line="265" w:lineRule="auto"/>
        <w:tabs>
          <w:tab w:leader="none" w:pos="9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456"/>
        <w:spacing w:after="0" w:line="280" w:lineRule="auto"/>
        <w:tabs>
          <w:tab w:leader="none" w:pos="7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340" w:right="180" w:firstLine="349"/>
        <w:spacing w:after="0" w:line="280" w:lineRule="auto"/>
        <w:tabs>
          <w:tab w:leader="none" w:pos="97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340" w:right="140" w:firstLine="349"/>
        <w:spacing w:after="0" w:line="280" w:lineRule="auto"/>
        <w:tabs>
          <w:tab w:leader="none" w:pos="9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15, 2019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u w:val="single" w:color="auto"/>
          <w:color w:val="auto"/>
        </w:rPr>
        <w:t>/s/ James Pelrin</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James Pelrin</w:t>
      </w:r>
    </w:p>
    <w:p>
      <w:pPr>
        <w:spacing w:after="0" w:line="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Hugh T. Regan, Jr., certify that:</w:t>
      </w:r>
    </w:p>
    <w:p>
      <w:pPr>
        <w:spacing w:after="0" w:line="224" w:lineRule="exact"/>
        <w:rPr>
          <w:sz w:val="20"/>
          <w:szCs w:val="20"/>
          <w:color w:val="auto"/>
        </w:rPr>
      </w:pPr>
    </w:p>
    <w:p>
      <w:pPr>
        <w:ind w:left="780" w:hanging="324"/>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3" w:lineRule="exact"/>
        <w:rPr>
          <w:rFonts w:ascii="Times New Roman" w:cs="Times New Roman" w:eastAsia="Times New Roman" w:hAnsi="Times New Roman"/>
          <w:sz w:val="18"/>
          <w:szCs w:val="18"/>
          <w:color w:val="auto"/>
        </w:rPr>
      </w:pPr>
    </w:p>
    <w:p>
      <w:pPr>
        <w:ind w:right="220" w:firstLine="456"/>
        <w:spacing w:after="0" w:line="311" w:lineRule="auto"/>
        <w:tabs>
          <w:tab w:leader="none" w:pos="76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180" w:firstLine="456"/>
        <w:spacing w:after="0" w:line="280" w:lineRule="auto"/>
        <w:tabs>
          <w:tab w:leader="none" w:pos="7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40" w:firstLine="456"/>
        <w:spacing w:after="0" w:line="265" w:lineRule="auto"/>
        <w:tabs>
          <w:tab w:leader="none" w:pos="7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right="260" w:firstLine="349"/>
        <w:spacing w:after="0" w:line="265" w:lineRule="auto"/>
        <w:tabs>
          <w:tab w:leader="none" w:pos="9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right="600" w:firstLine="349"/>
        <w:spacing w:after="0" w:line="265" w:lineRule="auto"/>
        <w:tabs>
          <w:tab w:leader="none" w:pos="9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780" w:firstLine="349"/>
        <w:spacing w:after="0" w:line="280" w:lineRule="auto"/>
        <w:tabs>
          <w:tab w:leader="none" w:pos="9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340" w:right="140" w:firstLine="349"/>
        <w:spacing w:after="0" w:line="265" w:lineRule="auto"/>
        <w:tabs>
          <w:tab w:leader="none" w:pos="9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456"/>
        <w:spacing w:after="0" w:line="280" w:lineRule="auto"/>
        <w:tabs>
          <w:tab w:leader="none" w:pos="7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340" w:right="180" w:firstLine="349"/>
        <w:spacing w:after="0" w:line="280" w:lineRule="auto"/>
        <w:tabs>
          <w:tab w:leader="none" w:pos="9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left="340" w:right="140" w:firstLine="349"/>
        <w:spacing w:after="0" w:line="280" w:lineRule="auto"/>
        <w:tabs>
          <w:tab w:leader="none" w:pos="9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15, 2019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u w:val="single" w:color="auto"/>
          <w:color w:val="auto"/>
        </w:rPr>
        <w:t>/s/ Hugh T. Regan, Jr.</w:t>
      </w:r>
    </w:p>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Hugh T. Regan, Jr.</w:t>
      </w:r>
    </w:p>
    <w:p>
      <w:pPr>
        <w:spacing w:after="0" w:line="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Secretary, Treasurer and Chief Financial Officer</w:t>
      </w:r>
    </w:p>
    <w:p>
      <w:pPr>
        <w:sectPr>
          <w:pgSz w:w="11900" w:h="16838" w:orient="portrait"/>
          <w:cols w:equalWidth="0" w:num="1">
            <w:col w:w="11420"/>
          </w:cols>
          <w:pgMar w:left="240" w:top="117"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54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March 31, 2019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15, 2019</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 James Pelrin</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James Pelrin</w:t>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0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March 31, 2019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2019</w:t>
      </w: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 Hugh T. Regan, Jr.</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Hugh T. Regan, Jr.</w:t>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Secretary, Treasurer and 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decimal"/>
      <w:start w:val="10"/>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1" Type="http://schemas.openxmlformats.org/officeDocument/2006/relationships/hyperlink" Target="http://www.sec.gov/Archives/edgar/data/1036262/000143774919007093/ex_1405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2019-12-28T12:03:01Z</dcterms:created>
  <dcterms:modified xsi:type="dcterms:W3CDTF">2019-12-28T12:03:01Z</dcterms:modified>
</cp:coreProperties>
</file>