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_____________</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3780" w:right="1660" w:hanging="3777"/>
        <w:spacing w:after="0" w:line="476" w:lineRule="auto"/>
        <w:tabs>
          <w:tab w:leader="none" w:pos="2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2018</w:t>
      </w:r>
      <w:r>
        <w:rPr>
          <w:rFonts w:ascii="Arial" w:cs="Arial" w:eastAsia="Arial" w:hAnsi="Arial"/>
          <w:sz w:val="18"/>
          <w:szCs w:val="18"/>
          <w:color w:val="auto"/>
        </w:rPr>
        <w:t xml:space="preserve"> or</w:t>
      </w:r>
    </w:p>
    <w:p>
      <w:pPr>
        <w:spacing w:after="0" w:line="29"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For the transition period from __________________ to ___________________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3"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22-2370659</w:t>
            </w:r>
          </w:p>
        </w:tc>
        <w:tc>
          <w:tcPr>
            <w:tcW w:w="1020" w:type="dxa"/>
            <w:vAlign w:val="bottom"/>
          </w:tcPr>
          <w:p>
            <w:pPr>
              <w:spacing w:after="0"/>
              <w:rPr>
                <w:sz w:val="17"/>
                <w:szCs w:val="17"/>
                <w:color w:val="auto"/>
              </w:rPr>
            </w:pPr>
          </w:p>
        </w:tc>
      </w:tr>
      <w:tr>
        <w:trPr>
          <w:trHeight w:val="236"/>
        </w:trPr>
        <w:tc>
          <w:tcPr>
            <w:tcW w:w="47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340" w:type="dxa"/>
            <w:vAlign w:val="bottom"/>
            <w:gridSpan w:val="3"/>
          </w:tcPr>
          <w:p>
            <w:pPr>
              <w:jc w:val="center"/>
              <w:ind w:left="33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w:t>
      </w:r>
    </w:p>
    <w:p>
      <w:pPr>
        <w:spacing w:after="0" w:line="210" w:lineRule="exact"/>
        <w:rPr>
          <w:sz w:val="24"/>
          <w:szCs w:val="24"/>
          <w:color w:val="auto"/>
        </w:rPr>
      </w:pPr>
    </w:p>
    <w:p>
      <w:pPr>
        <w:ind w:right="12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5" w:lineRule="exact"/>
        <w:rPr>
          <w:sz w:val="24"/>
          <w:szCs w:val="24"/>
          <w:color w:val="auto"/>
        </w:rPr>
      </w:pPr>
    </w:p>
    <w:p>
      <w:pPr>
        <w:ind w:right="32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5"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0"/>
          </w:cols>
          <w:pgMar w:left="380" w:top="476" w:right="459" w:bottom="1440" w:gutter="0" w:footer="0" w:header="0"/>
        </w:sectPr>
      </w:pPr>
    </w:p>
    <w:p>
      <w:pPr>
        <w:spacing w:after="0" w:line="15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8" w:lineRule="exact"/>
        <w:rPr>
          <w:sz w:val="24"/>
          <w:szCs w:val="24"/>
          <w:color w:val="auto"/>
        </w:rPr>
      </w:pPr>
    </w:p>
    <w:p>
      <w:pPr>
        <w:sectPr>
          <w:pgSz w:w="11900" w:h="16838" w:orient="portrait"/>
          <w:cols w:equalWidth="0" w:num="2">
            <w:col w:w="5820" w:space="720"/>
            <w:col w:w="4520"/>
          </w:cols>
          <w:pgMar w:left="380" w:top="476" w:right="459" w:bottom="1440" w:gutter="0" w:footer="0" w:header="0"/>
          <w:type w:val="continuous"/>
        </w:sectPr>
      </w:pPr>
    </w:p>
    <w:p>
      <w:pPr>
        <w:spacing w:after="0" w:line="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April 30, 2018:</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10,473,558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374650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380" w:top="476" w:right="45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014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96"/>
        </w:trPr>
        <w:tc>
          <w:tcPr>
            <w:tcW w:w="820" w:type="dxa"/>
            <w:vAlign w:val="bottom"/>
            <w:gridSpan w:val="2"/>
            <w:vMerge w:val="continue"/>
          </w:tcPr>
          <w:p>
            <w:pPr>
              <w:spacing w:after="0"/>
              <w:rPr>
                <w:sz w:val="17"/>
                <w:szCs w:val="17"/>
                <w:color w:val="auto"/>
              </w:rPr>
            </w:pPr>
          </w:p>
        </w:tc>
        <w:tc>
          <w:tcPr>
            <w:tcW w:w="10140" w:type="dxa"/>
            <w:vAlign w:val="bottom"/>
            <w:gridSpan w:val="17"/>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w:t>
            </w:r>
          </w:p>
        </w:tc>
        <w:tc>
          <w:tcPr>
            <w:tcW w:w="2380" w:type="dxa"/>
            <w:vAlign w:val="bottom"/>
            <w:tcBorders>
              <w:top w:val="single" w:sz="8" w:color="0000EE"/>
            </w:tcBorders>
            <w:gridSpan w:val="7"/>
          </w:tcPr>
          <w:p>
            <w:pPr>
              <w:spacing w:after="0"/>
              <w:rPr>
                <w:rFonts w:ascii="Arial" w:cs="Arial" w:eastAsia="Arial" w:hAnsi="Arial"/>
                <w:sz w:val="18"/>
                <w:szCs w:val="18"/>
                <w:b w:val="1"/>
                <w:bCs w:val="1"/>
                <w:i w:val="1"/>
                <w:iCs w:val="1"/>
                <w:color w:val="0000EE"/>
              </w:rPr>
            </w:pPr>
            <w:hyperlink w:anchor="page3">
              <w:r>
                <w:rPr>
                  <w:rFonts w:ascii="Arial" w:cs="Arial" w:eastAsia="Arial" w:hAnsi="Arial"/>
                  <w:sz w:val="18"/>
                  <w:szCs w:val="18"/>
                  <w:b w:val="1"/>
                  <w:bCs w:val="1"/>
                  <w:i w:val="1"/>
                  <w:iCs w:val="1"/>
                  <w:color w:val="0000EE"/>
                </w:rPr>
                <w:t>Financial Statements</w:t>
              </w:r>
            </w:hyperlink>
          </w:p>
        </w:tc>
        <w:tc>
          <w:tcPr>
            <w:tcW w:w="7760" w:type="dxa"/>
            <w:vAlign w:val="bottom"/>
            <w:gridSpan w:val="10"/>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2018 (Unaudited) and December 31, 2017</w:t>
              </w:r>
            </w:hyperlink>
          </w:p>
        </w:tc>
        <w:tc>
          <w:tcPr>
            <w:tcW w:w="3800" w:type="dxa"/>
            <w:vAlign w:val="bottom"/>
            <w:gridSpan w:val="6"/>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for the three months ended March 31, 2018 and 2017</w:t>
              </w:r>
            </w:hyperlink>
          </w:p>
        </w:tc>
        <w:tc>
          <w:tcPr>
            <w:tcW w:w="2660" w:type="dxa"/>
            <w:vAlign w:val="bottom"/>
            <w:gridSpan w:val="3"/>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Earnings for the three months ended March 31, 2018 and 2017</w:t>
              </w:r>
            </w:hyperlink>
          </w:p>
        </w:tc>
        <w:tc>
          <w:tcPr>
            <w:tcW w:w="164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 of Stockholders' Equity for the three months ended March 31, 2018</w:t>
              </w:r>
            </w:hyperlink>
          </w:p>
        </w:tc>
        <w:tc>
          <w:tcPr>
            <w:tcW w:w="2740" w:type="dxa"/>
            <w:vAlign w:val="bottom"/>
            <w:gridSpan w:val="4"/>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three months ended March 31, 2018 and 2017</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620" w:type="dxa"/>
            <w:vAlign w:val="bottom"/>
            <w:gridSpan w:val="2"/>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2.</w:t>
            </w:r>
          </w:p>
        </w:tc>
        <w:tc>
          <w:tcPr>
            <w:tcW w:w="6680" w:type="dxa"/>
            <w:vAlign w:val="bottom"/>
            <w:tcBorders>
              <w:bottom w:val="single" w:sz="8" w:color="0000EE"/>
            </w:tcBorders>
            <w:gridSpan w:val="12"/>
          </w:tcPr>
          <w:p>
            <w:pPr>
              <w:spacing w:after="0"/>
              <w:rPr>
                <w:rFonts w:ascii="Arial" w:cs="Arial" w:eastAsia="Arial" w:hAnsi="Arial"/>
                <w:sz w:val="18"/>
                <w:szCs w:val="18"/>
                <w:b w:val="1"/>
                <w:bCs w:val="1"/>
                <w:i w:val="1"/>
                <w:iCs w:val="1"/>
                <w:color w:val="0000EE"/>
                <w:w w:val="87"/>
              </w:rPr>
            </w:pPr>
            <w:hyperlink w:anchor="page21">
              <w:r>
                <w:rPr>
                  <w:rFonts w:ascii="Arial" w:cs="Arial" w:eastAsia="Arial" w:hAnsi="Arial"/>
                  <w:sz w:val="18"/>
                  <w:szCs w:val="18"/>
                  <w:b w:val="1"/>
                  <w:bCs w:val="1"/>
                  <w:i w:val="1"/>
                  <w:iCs w:val="1"/>
                  <w:color w:val="0000EE"/>
                  <w:w w:val="87"/>
                </w:rPr>
                <w:t>Management's Discussion and Analysis of Financial Condition and Results of Operations</w:t>
              </w:r>
            </w:hyperlink>
          </w:p>
        </w:tc>
        <w:tc>
          <w:tcPr>
            <w:tcW w:w="3460" w:type="dxa"/>
            <w:vAlign w:val="bottom"/>
            <w:gridSpan w:val="5"/>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3.</w:t>
            </w:r>
          </w:p>
        </w:tc>
        <w:tc>
          <w:tcPr>
            <w:tcW w:w="4480" w:type="dxa"/>
            <w:vAlign w:val="bottom"/>
            <w:tcBorders>
              <w:bottom w:val="single" w:sz="8" w:color="0000EE"/>
            </w:tcBorders>
            <w:gridSpan w:val="10"/>
          </w:tcPr>
          <w:p>
            <w:pPr>
              <w:spacing w:after="0"/>
              <w:rPr>
                <w:rFonts w:ascii="Arial" w:cs="Arial" w:eastAsia="Arial" w:hAnsi="Arial"/>
                <w:sz w:val="18"/>
                <w:szCs w:val="18"/>
                <w:b w:val="1"/>
                <w:bCs w:val="1"/>
                <w:i w:val="1"/>
                <w:iCs w:val="1"/>
                <w:color w:val="0000EE"/>
                <w:w w:val="87"/>
              </w:rPr>
            </w:pPr>
            <w:hyperlink w:anchor="page26">
              <w:r>
                <w:rPr>
                  <w:rFonts w:ascii="Arial" w:cs="Arial" w:eastAsia="Arial" w:hAnsi="Arial"/>
                  <w:sz w:val="18"/>
                  <w:szCs w:val="18"/>
                  <w:b w:val="1"/>
                  <w:bCs w:val="1"/>
                  <w:i w:val="1"/>
                  <w:iCs w:val="1"/>
                  <w:color w:val="0000EE"/>
                  <w:w w:val="87"/>
                </w:rPr>
                <w:t>Quantitative and Qualitative Disclosures About Market Risk</w:t>
              </w:r>
            </w:hyperlink>
          </w:p>
        </w:tc>
        <w:tc>
          <w:tcPr>
            <w:tcW w:w="5660" w:type="dxa"/>
            <w:vAlign w:val="bottom"/>
            <w:gridSpan w:val="7"/>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4.</w:t>
            </w:r>
          </w:p>
        </w:tc>
        <w:tc>
          <w:tcPr>
            <w:tcW w:w="10140" w:type="dxa"/>
            <w:vAlign w:val="bottom"/>
            <w:gridSpan w:val="17"/>
          </w:tcPr>
          <w:p>
            <w:pPr>
              <w:spacing w:after="0"/>
              <w:rPr>
                <w:rFonts w:ascii="Arial" w:cs="Arial" w:eastAsia="Arial" w:hAnsi="Arial"/>
                <w:sz w:val="18"/>
                <w:szCs w:val="18"/>
                <w:b w:val="1"/>
                <w:bCs w:val="1"/>
                <w:i w:val="1"/>
                <w:iCs w:val="1"/>
                <w:color w:val="0000EE"/>
              </w:rPr>
            </w:pPr>
            <w:hyperlink w:anchor="page26">
              <w:r>
                <w:rPr>
                  <w:rFonts w:ascii="Arial" w:cs="Arial" w:eastAsia="Arial" w:hAnsi="Arial"/>
                  <w:sz w:val="18"/>
                  <w:szCs w:val="18"/>
                  <w:b w:val="1"/>
                  <w:bCs w:val="1"/>
                  <w:i w:val="1"/>
                  <w:iCs w:val="1"/>
                  <w:color w:val="0000EE"/>
                </w:rPr>
                <w:t>Controls and Procedures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812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w:t>
            </w:r>
          </w:p>
        </w:tc>
        <w:tc>
          <w:tcPr>
            <w:tcW w:w="1380" w:type="dxa"/>
            <w:vAlign w:val="bottom"/>
            <w:tcBorders>
              <w:bottom w:val="single" w:sz="8" w:color="0000EE"/>
            </w:tcBorders>
            <w:gridSpan w:val="3"/>
          </w:tcPr>
          <w:p>
            <w:pPr>
              <w:spacing w:after="0"/>
              <w:rPr>
                <w:rFonts w:ascii="Arial" w:cs="Arial" w:eastAsia="Arial" w:hAnsi="Arial"/>
                <w:sz w:val="18"/>
                <w:szCs w:val="18"/>
                <w:b w:val="1"/>
                <w:bCs w:val="1"/>
                <w:i w:val="1"/>
                <w:iCs w:val="1"/>
                <w:color w:val="0000EE"/>
                <w:w w:val="84"/>
              </w:rPr>
            </w:pPr>
            <w:hyperlink w:anchor="page27">
              <w:r>
                <w:rPr>
                  <w:rFonts w:ascii="Arial" w:cs="Arial" w:eastAsia="Arial" w:hAnsi="Arial"/>
                  <w:sz w:val="18"/>
                  <w:szCs w:val="18"/>
                  <w:b w:val="1"/>
                  <w:bCs w:val="1"/>
                  <w:i w:val="1"/>
                  <w:iCs w:val="1"/>
                  <w:color w:val="0000EE"/>
                  <w:w w:val="84"/>
                </w:rPr>
                <w:t>Legal Proceedings</w:t>
              </w:r>
            </w:hyperlink>
          </w:p>
        </w:tc>
        <w:tc>
          <w:tcPr>
            <w:tcW w:w="8760" w:type="dxa"/>
            <w:vAlign w:val="bottom"/>
            <w:gridSpan w:val="14"/>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1A.</w:t>
            </w:r>
          </w:p>
        </w:tc>
        <w:tc>
          <w:tcPr>
            <w:tcW w:w="10140" w:type="dxa"/>
            <w:vAlign w:val="bottom"/>
            <w:gridSpan w:val="17"/>
          </w:tcPr>
          <w:p>
            <w:pPr>
              <w:spacing w:after="0"/>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Risk Factors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2.</w:t>
            </w:r>
          </w:p>
        </w:tc>
        <w:tc>
          <w:tcPr>
            <w:tcW w:w="4460" w:type="dxa"/>
            <w:vAlign w:val="bottom"/>
            <w:tcBorders>
              <w:bottom w:val="single" w:sz="8" w:color="0000EE"/>
            </w:tcBorders>
            <w:gridSpan w:val="9"/>
          </w:tcPr>
          <w:p>
            <w:pPr>
              <w:spacing w:after="0"/>
              <w:rPr>
                <w:rFonts w:ascii="Arial" w:cs="Arial" w:eastAsia="Arial" w:hAnsi="Arial"/>
                <w:sz w:val="18"/>
                <w:szCs w:val="18"/>
                <w:b w:val="1"/>
                <w:bCs w:val="1"/>
                <w:i w:val="1"/>
                <w:iCs w:val="1"/>
                <w:color w:val="0000EE"/>
                <w:w w:val="85"/>
              </w:rPr>
            </w:pPr>
            <w:hyperlink w:anchor="page27">
              <w:r>
                <w:rPr>
                  <w:rFonts w:ascii="Arial" w:cs="Arial" w:eastAsia="Arial" w:hAnsi="Arial"/>
                  <w:sz w:val="18"/>
                  <w:szCs w:val="18"/>
                  <w:b w:val="1"/>
                  <w:bCs w:val="1"/>
                  <w:i w:val="1"/>
                  <w:iCs w:val="1"/>
                  <w:color w:val="0000EE"/>
                  <w:w w:val="85"/>
                </w:rPr>
                <w:t>Unregistered Sales of Equity Securities and Use of Proceeds</w:t>
              </w:r>
            </w:hyperlink>
          </w:p>
        </w:tc>
        <w:tc>
          <w:tcPr>
            <w:tcW w:w="5680" w:type="dxa"/>
            <w:vAlign w:val="bottom"/>
            <w:gridSpan w:val="8"/>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3.</w:t>
            </w:r>
          </w:p>
        </w:tc>
        <w:tc>
          <w:tcPr>
            <w:tcW w:w="10140" w:type="dxa"/>
            <w:vAlign w:val="bottom"/>
            <w:gridSpan w:val="17"/>
          </w:tcPr>
          <w:p>
            <w:pPr>
              <w:spacing w:after="0"/>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Defaults Upon Senior Securities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4.</w:t>
            </w:r>
          </w:p>
        </w:tc>
        <w:tc>
          <w:tcPr>
            <w:tcW w:w="1840" w:type="dxa"/>
            <w:vAlign w:val="bottom"/>
            <w:tcBorders>
              <w:top w:val="single" w:sz="8" w:color="0000EE"/>
              <w:bottom w:val="single" w:sz="8" w:color="0000EE"/>
            </w:tcBorders>
            <w:gridSpan w:val="5"/>
          </w:tcPr>
          <w:p>
            <w:pPr>
              <w:spacing w:after="0"/>
              <w:rPr>
                <w:rFonts w:ascii="Arial" w:cs="Arial" w:eastAsia="Arial" w:hAnsi="Arial"/>
                <w:sz w:val="18"/>
                <w:szCs w:val="18"/>
                <w:b w:val="1"/>
                <w:bCs w:val="1"/>
                <w:i w:val="1"/>
                <w:iCs w:val="1"/>
                <w:color w:val="0000EE"/>
                <w:w w:val="86"/>
              </w:rPr>
            </w:pPr>
            <w:hyperlink w:anchor="page27">
              <w:r>
                <w:rPr>
                  <w:rFonts w:ascii="Arial" w:cs="Arial" w:eastAsia="Arial" w:hAnsi="Arial"/>
                  <w:sz w:val="18"/>
                  <w:szCs w:val="18"/>
                  <w:b w:val="1"/>
                  <w:bCs w:val="1"/>
                  <w:i w:val="1"/>
                  <w:iCs w:val="1"/>
                  <w:color w:val="0000EE"/>
                  <w:w w:val="86"/>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760" w:type="dxa"/>
            <w:vAlign w:val="bottom"/>
            <w:gridSpan w:val="10"/>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5.</w:t>
            </w:r>
          </w:p>
        </w:tc>
        <w:tc>
          <w:tcPr>
            <w:tcW w:w="10140" w:type="dxa"/>
            <w:vAlign w:val="bottom"/>
            <w:gridSpan w:val="17"/>
          </w:tcPr>
          <w:p>
            <w:pPr>
              <w:spacing w:after="0"/>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Other Information</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6.</w:t>
            </w: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Exhibits</w:t>
              </w:r>
            </w:hyperlink>
          </w:p>
        </w:tc>
        <w:tc>
          <w:tcPr>
            <w:tcW w:w="8760" w:type="dxa"/>
            <w:vAlign w:val="bottom"/>
            <w:gridSpan w:val="14"/>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rFonts w:ascii="Arial" w:cs="Arial" w:eastAsia="Arial" w:hAnsi="Arial"/>
                <w:sz w:val="18"/>
                <w:szCs w:val="18"/>
                <w:b w:val="1"/>
                <w:bCs w:val="1"/>
                <w:i w:val="1"/>
                <w:iCs w:val="1"/>
                <w:color w:val="0000EE"/>
                <w:w w:val="85"/>
              </w:rPr>
            </w:pPr>
            <w:hyperlink w:anchor="page28">
              <w:r>
                <w:rPr>
                  <w:rFonts w:ascii="Arial" w:cs="Arial" w:eastAsia="Arial" w:hAnsi="Arial"/>
                  <w:sz w:val="18"/>
                  <w:szCs w:val="18"/>
                  <w:b w:val="1"/>
                  <w:bCs w:val="1"/>
                  <w:i w:val="1"/>
                  <w:iCs w:val="1"/>
                  <w:color w:val="0000EE"/>
                  <w:w w:val="85"/>
                </w:rPr>
                <w:t>Signatures</w:t>
              </w:r>
            </w:hyperlink>
          </w:p>
        </w:tc>
        <w:tc>
          <w:tcPr>
            <w:tcW w:w="6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594"/>
        </w:trPr>
        <w:tc>
          <w:tcPr>
            <w:tcW w:w="8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09"/>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$152 and $213, respectively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12,166</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30,999</w:t>
            </w:r>
          </w:p>
        </w:tc>
      </w:tr>
      <w:tr>
        <w:trPr>
          <w:trHeight w:val="209"/>
        </w:trPr>
        <w:tc>
          <w:tcPr>
            <w:tcW w:w="7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property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(4,314)</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0"/>
        </w:trPr>
        <w:tc>
          <w:tcPr>
            <w:tcW w:w="7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13,738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Restricted certificates of deposit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0"/>
        </w:trPr>
        <w:tc>
          <w:tcPr>
            <w:tcW w:w="7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65,433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3,280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wages and benefits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Accrued rent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Accrued sales commissions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payable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14,419</w:t>
            </w:r>
          </w:p>
        </w:tc>
      </w:tr>
      <w:tr>
        <w:trPr>
          <w:trHeight w:val="20"/>
        </w:trPr>
        <w:tc>
          <w:tcPr>
            <w:tcW w:w="7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Federal transition tax payable, net of current portion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Contingent consideration liability, net of current portion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5,744</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23,205</w:t>
            </w:r>
          </w:p>
        </w:tc>
      </w:tr>
      <w:tr>
        <w:trPr>
          <w:trHeight w:val="209"/>
        </w:trPr>
        <w:tc>
          <w:tcPr>
            <w:tcW w:w="79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7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20,000,000 shares authorized; 10,506,635 and 10,427,435 shares issued,</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25,980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25,860</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12,646</w:t>
            </w:r>
          </w:p>
        </w:tc>
      </w:tr>
      <w:tr>
        <w:trPr>
          <w:trHeight w:val="216"/>
        </w:trPr>
        <w:tc>
          <w:tcPr>
            <w:tcW w:w="7940" w:type="dxa"/>
            <w:vAlign w:val="bottom"/>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r>
      <w:tr>
        <w:trPr>
          <w:trHeight w:val="216"/>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33,077 shares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0"/>
        </w:trPr>
        <w:tc>
          <w:tcPr>
            <w:tcW w:w="7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39,828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39,288</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62,493</w:t>
            </w:r>
          </w:p>
        </w:tc>
      </w:tr>
      <w:tr>
        <w:trPr>
          <w:trHeight w:val="20"/>
        </w:trPr>
        <w:tc>
          <w:tcPr>
            <w:tcW w:w="7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09"/>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r>
      <w:tr>
        <w:trPr>
          <w:trHeight w:val="20"/>
        </w:trPr>
        <w:tc>
          <w:tcPr>
            <w:tcW w:w="8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w:t>
            </w:r>
          </w:p>
        </w:tc>
      </w:tr>
      <w:tr>
        <w:trPr>
          <w:trHeight w:val="209"/>
        </w:trPr>
        <w:tc>
          <w:tcPr>
            <w:tcW w:w="8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60"/>
              <w:spacing w:after="0"/>
              <w:rPr>
                <w:sz w:val="20"/>
                <w:szCs w:val="20"/>
                <w:color w:val="auto"/>
              </w:rPr>
            </w:pPr>
            <w:r>
              <w:rPr>
                <w:rFonts w:ascii="Arial" w:cs="Arial" w:eastAsia="Arial" w:hAnsi="Arial"/>
                <w:sz w:val="18"/>
                <w:szCs w:val="18"/>
                <w:color w:val="auto"/>
              </w:rPr>
              <w:t>Selling expense</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r>
      <w:tr>
        <w:trPr>
          <w:trHeight w:val="216"/>
        </w:trPr>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8120" w:type="dxa"/>
            <w:vAlign w:val="bottom"/>
          </w:tcPr>
          <w:p>
            <w:pPr>
              <w:ind w:left="1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r>
      <w:tr>
        <w:trPr>
          <w:trHeight w:val="216"/>
        </w:trPr>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4,597</w:t>
            </w:r>
          </w:p>
        </w:tc>
      </w:tr>
      <w:tr>
        <w:trPr>
          <w:trHeight w:val="209"/>
        </w:trPr>
        <w:tc>
          <w:tcPr>
            <w:tcW w:w="81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3,131</w:t>
            </w:r>
          </w:p>
        </w:tc>
      </w:tr>
      <w:tr>
        <w:trPr>
          <w:trHeight w:val="216"/>
        </w:trPr>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09"/>
        </w:trPr>
        <w:tc>
          <w:tcPr>
            <w:tcW w:w="8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r>
      <w:tr>
        <w:trPr>
          <w:trHeight w:val="209"/>
        </w:trPr>
        <w:tc>
          <w:tcPr>
            <w:tcW w:w="81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r>
      <w:tr>
        <w:trPr>
          <w:trHeight w:val="20"/>
        </w:trPr>
        <w:tc>
          <w:tcPr>
            <w:tcW w:w="8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1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10,326,309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10,264,565</w:t>
            </w: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2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10,365,306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10,295,337</w:t>
            </w:r>
          </w:p>
        </w:tc>
      </w:tr>
      <w:tr>
        <w:trPr>
          <w:trHeight w:val="417"/>
        </w:trPr>
        <w:tc>
          <w:tcPr>
            <w:tcW w:w="8120" w:type="dxa"/>
            <w:vAlign w:val="bottom"/>
          </w:tcPr>
          <w:p>
            <w:pPr>
              <w:ind w:left="34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ind w:left="5560"/>
              <w:spacing w:after="0"/>
              <w:rPr>
                <w:sz w:val="20"/>
                <w:szCs w:val="20"/>
                <w:color w:val="auto"/>
              </w:rPr>
            </w:pPr>
            <w:r>
              <w:rPr>
                <w:rFonts w:ascii="Arial" w:cs="Arial" w:eastAsia="Arial" w:hAnsi="Arial"/>
                <w:sz w:val="18"/>
                <w:szCs w:val="18"/>
                <w:color w:val="auto"/>
              </w:rPr>
              <w:t>- 2 -</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8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120" w:type="dxa"/>
            <w:vAlign w:val="bottom"/>
          </w:tcPr>
          <w:p>
            <w:pPr>
              <w:spacing w:after="0"/>
              <w:rPr>
                <w:sz w:val="20"/>
                <w:szCs w:val="20"/>
                <w:color w:val="auto"/>
              </w:rPr>
            </w:pPr>
            <w:r>
              <w:rPr>
                <w:rFonts w:ascii="Arial" w:cs="Arial" w:eastAsia="Arial" w:hAnsi="Arial"/>
                <w:sz w:val="18"/>
                <w:szCs w:val="18"/>
                <w:color w:val="auto"/>
              </w:rPr>
              <w:t>Comprehensive earnings</w:t>
            </w:r>
          </w:p>
        </w:tc>
        <w:tc>
          <w:tcPr>
            <w:tcW w:w="1080" w:type="dxa"/>
            <w:vAlign w:val="bottom"/>
            <w:gridSpan w:val="2"/>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419</w:t>
            </w:r>
          </w:p>
        </w:tc>
        <w:tc>
          <w:tcPr>
            <w:tcW w:w="12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r>
      <w:tr>
        <w:trPr>
          <w:trHeight w:val="20"/>
        </w:trPr>
        <w:tc>
          <w:tcPr>
            <w:tcW w:w="8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14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30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10,427,435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1"/>
        </w:trPr>
        <w:tc>
          <w:tcPr>
            <w:tcW w:w="3300" w:type="dxa"/>
            <w:vAlign w:val="bottom"/>
          </w:tcPr>
          <w:p>
            <w:pPr>
              <w:spacing w:after="0" w:line="201" w:lineRule="exact"/>
              <w:rPr>
                <w:sz w:val="20"/>
                <w:szCs w:val="20"/>
                <w:color w:val="auto"/>
              </w:rPr>
            </w:pPr>
            <w:r>
              <w:rPr>
                <w:rFonts w:ascii="Arial" w:cs="Arial" w:eastAsia="Arial" w:hAnsi="Arial"/>
                <w:sz w:val="18"/>
                <w:szCs w:val="18"/>
                <w:color w:val="auto"/>
                <w:w w:val="99"/>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79,200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8"/>
                <w:szCs w:val="18"/>
                <w:color w:val="auto"/>
              </w:rPr>
              <w:t>Balance, March 31, 2018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10,506,635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25,980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13,027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39,828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00" w:type="dxa"/>
            <w:vAlign w:val="bottom"/>
          </w:tcPr>
          <w:p>
            <w:pPr>
              <w:spacing w:after="0"/>
              <w:rPr>
                <w:sz w:val="24"/>
                <w:szCs w:val="24"/>
                <w:color w:val="auto"/>
              </w:rPr>
            </w:pPr>
          </w:p>
        </w:tc>
        <w:tc>
          <w:tcPr>
            <w:tcW w:w="4700" w:type="dxa"/>
            <w:vAlign w:val="bottom"/>
            <w:gridSpan w:val="16"/>
          </w:tcPr>
          <w:p>
            <w:pPr>
              <w:jc w:val="right"/>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490"/>
              <w:spacing w:after="0"/>
              <w:rPr>
                <w:sz w:val="20"/>
                <w:szCs w:val="20"/>
                <w:color w:val="auto"/>
              </w:rPr>
            </w:pPr>
            <w:r>
              <w:rPr>
                <w:rFonts w:ascii="Arial" w:cs="Arial" w:eastAsia="Arial" w:hAnsi="Arial"/>
                <w:sz w:val="18"/>
                <w:szCs w:val="18"/>
                <w:color w:val="auto"/>
              </w:rPr>
              <w:t>- 4 -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6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 to earnout payable</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Adjustment to contingent consideration liability</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Foreign exchange gain</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660"/>
              <w:spacing w:after="0"/>
              <w:rPr>
                <w:sz w:val="20"/>
                <w:szCs w:val="20"/>
                <w:color w:val="auto"/>
              </w:rPr>
            </w:pPr>
            <w:r>
              <w:rPr>
                <w:rFonts w:ascii="Arial" w:cs="Arial" w:eastAsia="Arial" w:hAnsi="Arial"/>
                <w:sz w:val="18"/>
                <w:szCs w:val="18"/>
                <w:color w:val="auto"/>
              </w:rPr>
              <w:t>Trade accounts receivable</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(4,423)</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744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44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wages and benefits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7440" w:type="dxa"/>
            <w:vAlign w:val="bottom"/>
          </w:tcPr>
          <w:p>
            <w:pPr>
              <w:ind w:left="660"/>
              <w:spacing w:after="0"/>
              <w:rPr>
                <w:sz w:val="20"/>
                <w:szCs w:val="20"/>
                <w:color w:val="auto"/>
              </w:rPr>
            </w:pPr>
            <w:r>
              <w:rPr>
                <w:rFonts w:ascii="Arial" w:cs="Arial" w:eastAsia="Arial" w:hAnsi="Arial"/>
                <w:sz w:val="18"/>
                <w:szCs w:val="18"/>
                <w:color w:val="auto"/>
              </w:rPr>
              <w:t>Accrued rent</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professional fees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tcPr>
          <w:p>
            <w:pPr>
              <w:ind w:left="660"/>
              <w:spacing w:after="0"/>
              <w:rPr>
                <w:sz w:val="20"/>
                <w:szCs w:val="20"/>
                <w:color w:val="auto"/>
              </w:rPr>
            </w:pPr>
            <w:r>
              <w:rPr>
                <w:rFonts w:ascii="Arial" w:cs="Arial" w:eastAsia="Arial" w:hAnsi="Arial"/>
                <w:sz w:val="18"/>
                <w:szCs w:val="18"/>
                <w:color w:val="auto"/>
              </w:rPr>
              <w:t>Accrued sales commissions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744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0"/>
        </w:trPr>
        <w:tc>
          <w:tcPr>
            <w:tcW w:w="7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09"/>
        </w:trPr>
        <w:tc>
          <w:tcPr>
            <w:tcW w:w="7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(1,168)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7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(1,168)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09"/>
        </w:trPr>
        <w:tc>
          <w:tcPr>
            <w:tcW w:w="7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of common stock</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0"/>
        </w:trPr>
        <w:tc>
          <w:tcPr>
            <w:tcW w:w="7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09"/>
        </w:trPr>
        <w:tc>
          <w:tcPr>
            <w:tcW w:w="7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09"/>
        </w:trPr>
        <w:tc>
          <w:tcPr>
            <w:tcW w:w="7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13,290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28,611</w:t>
            </w:r>
          </w:p>
        </w:tc>
      </w:tr>
      <w:tr>
        <w:trPr>
          <w:trHeight w:val="20"/>
        </w:trPr>
        <w:tc>
          <w:tcPr>
            <w:tcW w:w="7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14,438</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27,455</w:t>
            </w:r>
          </w:p>
        </w:tc>
      </w:tr>
      <w:tr>
        <w:trPr>
          <w:trHeight w:val="20"/>
        </w:trPr>
        <w:tc>
          <w:tcPr>
            <w:tcW w:w="7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payments for:</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w:t>
            </w:r>
          </w:p>
        </w:tc>
        <w:tc>
          <w:tcPr>
            <w:tcW w:w="6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8" w:lineRule="exact"/>
        <w:rPr>
          <w:rFonts w:ascii="Arial" w:cs="Arial" w:eastAsia="Arial" w:hAnsi="Arial"/>
          <w:sz w:val="18"/>
          <w:szCs w:val="18"/>
          <w:b w:val="1"/>
          <w:bCs w:val="1"/>
          <w:color w:val="auto"/>
        </w:rPr>
      </w:pPr>
    </w:p>
    <w:p>
      <w:pPr>
        <w:ind w:left="8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are an independent designer, manufacturer and marketer of thermal management products and semiconductor automated test equipment (“ATE”) interface solutions. Our products are used by semiconductor manufacturers to perform development, qualifying and final testing of integrated circuits (“ICs”) and wafers, and for other electronic testing across a range of industries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wholly-owned subsidiaries. We have two reportable segments, which are also our reporting units, Thermal Products ("Thermal") and Electromechanical Semiconductor Products ("EMS").</w:t>
      </w:r>
    </w:p>
    <w:p>
      <w:pPr>
        <w:spacing w:after="0" w:line="194" w:lineRule="exact"/>
        <w:rPr>
          <w:rFonts w:ascii="Arial" w:cs="Arial" w:eastAsia="Arial" w:hAnsi="Arial"/>
          <w:sz w:val="18"/>
          <w:szCs w:val="18"/>
          <w:b w:val="1"/>
          <w:bCs w:val="1"/>
          <w:color w:val="auto"/>
        </w:rPr>
      </w:pPr>
    </w:p>
    <w:p>
      <w:pPr>
        <w:ind w:left="80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w:t>
      </w:r>
    </w:p>
    <w:p>
      <w:pPr>
        <w:spacing w:after="0" w:line="175" w:lineRule="exact"/>
        <w:rPr>
          <w:rFonts w:ascii="Arial" w:cs="Arial" w:eastAsia="Arial" w:hAnsi="Arial"/>
          <w:sz w:val="18"/>
          <w:szCs w:val="18"/>
          <w:b w:val="1"/>
          <w:bCs w:val="1"/>
          <w:color w:val="auto"/>
        </w:rPr>
      </w:pPr>
    </w:p>
    <w:p>
      <w:pPr>
        <w:ind w:left="8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800" w:right="5760" w:hanging="792"/>
        <w:spacing w:after="0" w:line="502"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spacing w:after="0" w:line="1" w:lineRule="exact"/>
        <w:rPr>
          <w:rFonts w:ascii="Arial" w:cs="Arial" w:eastAsia="Arial" w:hAnsi="Arial"/>
          <w:sz w:val="18"/>
          <w:szCs w:val="18"/>
          <w:b w:val="1"/>
          <w:bCs w:val="1"/>
          <w:color w:val="auto"/>
        </w:rPr>
      </w:pPr>
    </w:p>
    <w:p>
      <w:pPr>
        <w:ind w:left="800"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spacing w:after="0" w:line="165" w:lineRule="exact"/>
        <w:rPr>
          <w:rFonts w:ascii="Arial" w:cs="Arial" w:eastAsia="Arial" w:hAnsi="Arial"/>
          <w:sz w:val="18"/>
          <w:szCs w:val="18"/>
          <w:b w:val="1"/>
          <w:bCs w:val="1"/>
          <w:color w:val="auto"/>
        </w:rPr>
      </w:pPr>
    </w:p>
    <w:p>
      <w:pPr>
        <w:ind w:left="8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2017 (“2017 Form 10-K”) filed on March 28, 2018 with the Securities and Exchange Commission.</w:t>
      </w:r>
    </w:p>
    <w:p>
      <w:pPr>
        <w:spacing w:after="0" w:line="191"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800" w:right="60"/>
        <w:spacing w:after="0" w:line="289" w:lineRule="auto"/>
        <w:rPr>
          <w:sz w:val="20"/>
          <w:szCs w:val="20"/>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within general and administrative expense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225"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color w:val="auto"/>
        </w:rPr>
        <w:t>The fair values of our financial instruments reflect the amounts that would be received to sell an asset or paid to transfer a liability in an orderly transaction between market participants at the measurement date (exit price).</w:t>
      </w:r>
    </w:p>
    <w:p>
      <w:pPr>
        <w:spacing w:after="0" w:line="170"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The carrying amounts of our financial instruments of cash and cash equivalents, accounts receivable, accounts payable and accrued liabilities approximate fair value due to their short maturities.</w:t>
      </w:r>
    </w:p>
    <w:p>
      <w:pPr>
        <w:spacing w:after="0" w:line="17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We carry our contingent consideration liability at fair value. In accordance with the three-tier fair value hierarchy, we determined the fair value of our contingent consideration liability using an option-based income approach with a Monte Carlo simulation model. The income approach uses Level 3, or unobservable inputs, as defined under the accounting guidance for fair value measurements. See Notes 3 and 4 for more information regarding our contingent consideration liability.</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800"/>
        <w:spacing w:after="0" w:line="253" w:lineRule="auto"/>
        <w:rPr>
          <w:sz w:val="20"/>
          <w:szCs w:val="20"/>
          <w:color w:val="auto"/>
        </w:rPr>
      </w:pPr>
      <w:r>
        <w:rPr>
          <w:rFonts w:ascii="Arial" w:cs="Arial" w:eastAsia="Arial" w:hAnsi="Arial"/>
          <w:sz w:val="18"/>
          <w:szCs w:val="18"/>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the qualitative assessment indicates a potential impairment,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95" w:lineRule="exact"/>
        <w:rPr>
          <w:sz w:val="20"/>
          <w:szCs w:val="20"/>
          <w:color w:val="auto"/>
        </w:rPr>
      </w:pPr>
    </w:p>
    <w:p>
      <w:pPr>
        <w:ind w:left="800"/>
        <w:spacing w:after="0" w:line="287"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and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00" w:right="60"/>
        <w:spacing w:after="0" w:line="254"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If we choose not to perform a qualitative assessment, then the quantitative impairment test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0" w:lineRule="exact"/>
        <w:rPr>
          <w:sz w:val="20"/>
          <w:szCs w:val="20"/>
          <w:color w:val="auto"/>
        </w:rPr>
      </w:pPr>
    </w:p>
    <w:p>
      <w:pPr>
        <w:ind w:left="800" w:right="180"/>
        <w:spacing w:after="0" w:line="296"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800" w:right="20"/>
        <w:spacing w:after="0" w:line="270" w:lineRule="auto"/>
        <w:rPr>
          <w:sz w:val="20"/>
          <w:szCs w:val="20"/>
          <w:color w:val="auto"/>
        </w:rPr>
      </w:pPr>
      <w:r>
        <w:rPr>
          <w:rFonts w:ascii="Arial" w:cs="Arial" w:eastAsia="Arial" w:hAnsi="Arial"/>
          <w:sz w:val="17"/>
          <w:szCs w:val="17"/>
          <w:color w:val="auto"/>
        </w:rPr>
        <w:t>As discussed further under “Effect of Recently Adopted Amendments to Authoritative Accounting Guidance” below, effective January 1, 2018, 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79" w:lineRule="exact"/>
        <w:rPr>
          <w:sz w:val="20"/>
          <w:szCs w:val="20"/>
          <w:color w:val="auto"/>
        </w:rPr>
      </w:pPr>
    </w:p>
    <w:p>
      <w:pPr>
        <w:ind w:left="800" w:right="60"/>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or net 60 day payment terms. We generally do not provide a right of return to our customers. Revenue is recognized net of any taxes collected from customers, which are subsequently remitted to governmental authorities.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800" w:right="40"/>
        <w:spacing w:after="0" w:line="272" w:lineRule="auto"/>
        <w:rPr>
          <w:sz w:val="20"/>
          <w:szCs w:val="20"/>
          <w:color w:val="auto"/>
        </w:rPr>
      </w:pPr>
      <w:r>
        <w:rPr>
          <w:rFonts w:ascii="Arial" w:cs="Arial" w:eastAsia="Arial" w:hAnsi="Arial"/>
          <w:sz w:val="17"/>
          <w:szCs w:val="17"/>
          <w:color w:val="auto"/>
        </w:rPr>
        <w:t>We sell thermal management products and semiconductor ATE interface solutions. Our thermal management products include ThermoStreams, ThermoChambers, ThermoChucks and process chillers which we sell under our Temptronic, Sigma and Thermonics product lines, and Ambrell’s precision induction heating systems, including EkoHeat and EasyHeat products. Our semiconductor ATE interface solutions include manipulators, docking hardware and electrical interface products. We provide post-warranty service for the equipment we sell. We sell semiconductor ATE interface solutions and certain thermal management products to the ATE market, which provides automated test equipment to the semiconductor market. We also sell our thermal products to markets outside the semiconductor market which include the automotive, defense/aerospace, industrial, telecommunications and other markets.</w:t>
      </w:r>
    </w:p>
    <w:p>
      <w:pPr>
        <w:spacing w:after="0" w:line="176"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6 months or less. Our lease agreements do not contain purchase options.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left="800" w:right="20"/>
        <w:spacing w:after="0" w:line="296"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all products manufactured as part of our quality assurance process to determine that they comply with specifications prior to shipment to a customer.</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800" w:right="140"/>
        <w:spacing w:after="0" w:line="279"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balance sheets.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00" w:right="160"/>
        <w:spacing w:after="0" w:line="307"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either at the time of receipt of our customer’s purchase order, in the case of Ambrell, or at the time we recognize revenue for a particular transaction, in the case of our remaining operations.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Refer to Notes 6 and 12 for further information about our revenue from contracts with customers.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800" w:right="60"/>
        <w:spacing w:after="0" w:line="271" w:lineRule="auto"/>
        <w:rPr>
          <w:sz w:val="20"/>
          <w:szCs w:val="20"/>
          <w:color w:val="auto"/>
        </w:rPr>
      </w:pPr>
      <w:r>
        <w:rPr>
          <w:rFonts w:ascii="Arial" w:cs="Arial" w:eastAsia="Arial" w:hAnsi="Arial"/>
          <w:sz w:val="17"/>
          <w:szCs w:val="17"/>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$61 and $47 for the three months ended March 31, 2018 and 2017, respectively.</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800" w:right="640"/>
        <w:spacing w:after="0" w:line="277"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2018.</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generally provide product warranties and record estimated warranty expense at the time of sale based upon historical claims experience.</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Warranty expense is included in selling expense in our consolidated statements of operations.</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800" w:right="60"/>
        <w:spacing w:after="0" w:line="256" w:lineRule="auto"/>
        <w:rPr>
          <w:sz w:val="20"/>
          <w:szCs w:val="20"/>
          <w:color w:val="auto"/>
        </w:rPr>
      </w:pPr>
      <w:r>
        <w:rPr>
          <w:rFonts w:ascii="Arial" w:cs="Arial" w:eastAsia="Arial" w:hAnsi="Arial"/>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left="800" w:right="12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39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6"/>
              </w:rPr>
              <w:t>March,</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10,326,309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10,264,565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Potentially dilutive securities: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Unvested shares of restricted stock and stock options</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38,997</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30,772</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2"/>
          </w:tcPr>
          <w:p>
            <w:pPr>
              <w:spacing w:after="0"/>
              <w:rPr>
                <w:sz w:val="20"/>
                <w:szCs w:val="20"/>
                <w:color w:val="auto"/>
              </w:rPr>
            </w:pPr>
            <w:r>
              <w:rPr>
                <w:rFonts w:ascii="Arial" w:cs="Arial" w:eastAsia="Arial" w:hAnsi="Arial"/>
                <w:sz w:val="18"/>
                <w:szCs w:val="18"/>
                <w:color w:val="auto"/>
                <w:w w:val="98"/>
              </w:rPr>
              <w:t>Weighted average common shares and common share equivalents outstanding - diluted</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10,365,306</w:t>
            </w:r>
          </w:p>
        </w:tc>
        <w:tc>
          <w:tcPr>
            <w:tcW w:w="3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10,295,337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Average number of potentially dilutive securities excluded from calculation</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103,756</w:t>
            </w:r>
          </w:p>
        </w:tc>
        <w:tc>
          <w:tcPr>
            <w:tcW w:w="3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47,260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6"/>
              </w:rPr>
              <w:t>Effect of Recently Adopted Amendments to Authoritative Accounting Guidance</w:t>
            </w:r>
          </w:p>
        </w:tc>
        <w:tc>
          <w:tcPr>
            <w:tcW w:w="1020" w:type="dxa"/>
            <w:vAlign w:val="bottom"/>
            <w:vMerge w:val="restart"/>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880" w:type="dxa"/>
            <w:vAlign w:val="bottom"/>
            <w:tcBorders>
              <w:bottom w:val="single" w:sz="8" w:color="auto"/>
            </w:tcBorders>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issued additional clarifying guidance on certain aspects of this new guidance. This new guidance is presented in ASC Topic 606 (Revenue from Contracts with Customers) and replaced most existing revenue recognition guidance in U.S. GAAP when it became effective, which for us was on January 1, 2018. During the fourth quarter of 2017, we completed our review of all our revenue streams to identify any differences in timing, measurement or presentation of revenue recognition. This review included the types of revenue arrangements currently in place including a review of individual customer contracts related to each of our major revenue streams. Based on the results of our assessment, we concluded that the implementation of this new guidance would not have a significant impact on the timing or amount of revenue we recognize in any given period in comparison to the amount recognized under prior guidance. In addition, based on our assessment, we determined that we did not need to implement any major changes to existing accounting systems or internal controls. We adopted this guidance as of January 1, 2018 using the modified retrospective method which allowed us to make a cumulative adjustment to retained earnings for any differences in the amounts of revenue or expenses that would have been recognized in prior periods, had this new guidance been in place at that time, rather than retrospectively adjusting those prior periods. However, the implementation of this new guidance did not have any impact on our results of operations or our consolidated balance sheet as of the implementation date, as the timing and amount of revenue we recognized in prior periods did not change under the new guidance. See Notes 6 and 12 for additional disclosures about our revenue from contracts with customers.</w:t>
      </w:r>
    </w:p>
    <w:p>
      <w:pPr>
        <w:spacing w:after="0" w:line="168" w:lineRule="exact"/>
        <w:rPr>
          <w:sz w:val="20"/>
          <w:szCs w:val="20"/>
          <w:color w:val="auto"/>
        </w:rPr>
      </w:pPr>
    </w:p>
    <w:p>
      <w:pPr>
        <w:ind w:left="820" w:right="300"/>
        <w:spacing w:after="0" w:line="259"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were effective for us as of January 1, 2018, and have been applied retrospectively. The implementation of these amendments did not have a material impact on our consolidated financial statements.</w:t>
      </w:r>
    </w:p>
    <w:p>
      <w:pPr>
        <w:spacing w:after="0" w:line="186" w:lineRule="exact"/>
        <w:rPr>
          <w:sz w:val="20"/>
          <w:szCs w:val="20"/>
          <w:color w:val="auto"/>
        </w:rPr>
      </w:pPr>
    </w:p>
    <w:p>
      <w:pPr>
        <w:ind w:left="820" w:right="100"/>
        <w:spacing w:after="0" w:line="259"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were effective for us as of January 1, 2018. The implementation of these amendments did not have a material impact on our consolidated financial statements.</w:t>
      </w:r>
    </w:p>
    <w:p>
      <w:pPr>
        <w:spacing w:after="0" w:line="186" w:lineRule="exact"/>
        <w:rPr>
          <w:sz w:val="20"/>
          <w:szCs w:val="20"/>
          <w:color w:val="auto"/>
        </w:rPr>
      </w:pPr>
    </w:p>
    <w:p>
      <w:pPr>
        <w:ind w:left="820" w:right="80"/>
        <w:spacing w:after="0" w:line="255" w:lineRule="auto"/>
        <w:rPr>
          <w:sz w:val="20"/>
          <w:szCs w:val="20"/>
          <w:color w:val="auto"/>
        </w:rPr>
      </w:pPr>
      <w:r>
        <w:rPr>
          <w:rFonts w:ascii="Arial" w:cs="Arial" w:eastAsia="Arial" w:hAnsi="Arial"/>
          <w:sz w:val="18"/>
          <w:szCs w:val="18"/>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were effective for us as of January 1, 2018. The amendments are to be applied prospectively to an award modified on or after the adoption date. The implementation of these amendments did not have a material impact on our consolidated financial statements.</w:t>
      </w:r>
    </w:p>
    <w:p>
      <w:pPr>
        <w:spacing w:after="0" w:line="19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820" w:right="80"/>
        <w:spacing w:after="0" w:line="255" w:lineRule="auto"/>
        <w:rPr>
          <w:sz w:val="20"/>
          <w:szCs w:val="20"/>
          <w:color w:val="auto"/>
        </w:rPr>
      </w:pPr>
      <w:r>
        <w:rPr>
          <w:rFonts w:ascii="Arial" w:cs="Arial" w:eastAsia="Arial" w:hAnsi="Arial"/>
          <w:sz w:val="18"/>
          <w:szCs w:val="18"/>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these amendments to have a material impact on our consolidated financial statements.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20"/>
        <w:spacing w:after="0" w:line="267" w:lineRule="auto"/>
        <w:rPr>
          <w:sz w:val="20"/>
          <w:szCs w:val="20"/>
          <w:color w:val="auto"/>
        </w:rPr>
      </w:pPr>
      <w:r>
        <w:rPr>
          <w:rFonts w:ascii="Arial" w:cs="Arial" w:eastAsia="Arial" w:hAnsi="Arial"/>
          <w:sz w:val="17"/>
          <w:szCs w:val="17"/>
          <w:color w:val="auto"/>
        </w:rPr>
        <w:t>In February 2016, the FASB issued amendments to the current guidance on accounting for lease transactions, which is presented in ASC Topic 842 (Leases). Subsequent to February 2016, the FASB has issued additional clarifying guidance on certain aspects of this new guidance.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During the fourth quarter of 2017, we performed a preliminary assessment of the impact that the implementation of this guidance will have on our consolidated financial statements. Our assessment is ongoing. We currently expect that the implementation of this new guidance will have a significant impact on our consolidated balance sheet as a result of recording right-of-use assets and lease liabilities for all of our multi-year leases. Under current guidance, none of these leases has any related asset or liability recorded on our balance sheet. We do not currently expect that the implementation of this new guidance will have a significant impact on our pattern of expense recognition for any of our multi-year leases. However, we are still in the process of completing our assessment and our conclusions about the impact that this new guidance will have on our consolidated financial statements may change as we complete our assessment over the next several quarters.</w:t>
      </w:r>
    </w:p>
    <w:p>
      <w:pPr>
        <w:spacing w:after="0" w:line="200" w:lineRule="exact"/>
        <w:rPr>
          <w:sz w:val="20"/>
          <w:szCs w:val="20"/>
          <w:color w:val="auto"/>
        </w:rPr>
      </w:pPr>
    </w:p>
    <w:p>
      <w:pPr>
        <w:spacing w:after="0" w:line="229" w:lineRule="exact"/>
        <w:rPr>
          <w:sz w:val="20"/>
          <w:szCs w:val="20"/>
          <w:color w:val="auto"/>
        </w:rPr>
      </w:pPr>
    </w:p>
    <w:p>
      <w:pPr>
        <w:ind w:left="780" w:hanging="772"/>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left="820" w:right="60"/>
        <w:spacing w:after="0" w:line="301" w:lineRule="auto"/>
        <w:rPr>
          <w:sz w:val="20"/>
          <w:szCs w:val="20"/>
          <w:color w:val="auto"/>
        </w:rPr>
      </w:pPr>
      <w:r>
        <w:rPr>
          <w:rFonts w:ascii="Arial" w:cs="Arial" w:eastAsia="Arial" w:hAnsi="Arial"/>
          <w:sz w:val="16"/>
          <w:szCs w:val="16"/>
          <w:color w:val="auto"/>
        </w:rPr>
        <w:t>On May 24, 2017, we completed our acquisition of Ambrell, a manufacturer of precision induction heating systems. Ambrell's systems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w:t>
      </w:r>
    </w:p>
    <w:p>
      <w:pPr>
        <w:spacing w:after="0" w:line="156"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purchase price for Ambrell was $22,000 in cash paid at closing, subject to a customary post-closing working capital adjustment. Additional consideration in the form of earnouts may be paid based upon a multiple of adjusted EBITDA for 2017 and 2018, as further discussed below. The acquisition was completed by acquiring all of the outstanding capital stock of Ambrell. Total acquisition costs incurred to complete this transaction were $935. Acquisition costs were expensed as incurred and included in general and administrative expense.</w:t>
      </w:r>
    </w:p>
    <w:p>
      <w:pPr>
        <w:spacing w:after="0" w:line="170" w:lineRule="exact"/>
        <w:rPr>
          <w:sz w:val="20"/>
          <w:szCs w:val="20"/>
          <w:color w:val="auto"/>
        </w:rPr>
      </w:pPr>
    </w:p>
    <w:p>
      <w:pPr>
        <w:jc w:val="both"/>
        <w:ind w:left="820" w:right="100"/>
        <w:spacing w:after="0" w:line="259" w:lineRule="auto"/>
        <w:rPr>
          <w:sz w:val="20"/>
          <w:szCs w:val="20"/>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Ambrell purchase price was based on fair values as of May 24, 2017. The determination of fair value reflects our estimates and assumptions based on the information available as of the date the estimate is calculated.</w:t>
      </w:r>
    </w:p>
    <w:p>
      <w:pPr>
        <w:spacing w:after="0" w:line="186" w:lineRule="exact"/>
        <w:rPr>
          <w:sz w:val="20"/>
          <w:szCs w:val="20"/>
          <w:color w:val="auto"/>
        </w:rPr>
      </w:pPr>
    </w:p>
    <w:p>
      <w:pPr>
        <w:ind w:left="820" w:right="380"/>
        <w:spacing w:after="0" w:line="307"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The total purchase price of $26,733 was comprised of:</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the capital stock of Ambrell</w:t>
            </w:r>
          </w:p>
        </w:tc>
        <w:tc>
          <w:tcPr>
            <w:tcW w:w="28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r>
      <w:tr>
        <w:trPr>
          <w:trHeight w:val="216"/>
        </w:trPr>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4,123</w:t>
            </w:r>
          </w:p>
        </w:tc>
      </w:tr>
      <w:tr>
        <w:trPr>
          <w:trHeight w:val="20"/>
        </w:trPr>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r>
      <w:tr>
        <w:trPr>
          <w:trHeight w:val="20"/>
        </w:trPr>
        <w:tc>
          <w:tcPr>
            <w:tcW w:w="48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820"/>
        <w:spacing w:after="0" w:line="268" w:lineRule="auto"/>
        <w:rPr>
          <w:sz w:val="20"/>
          <w:szCs w:val="20"/>
          <w:color w:val="auto"/>
        </w:rPr>
      </w:pPr>
      <w:r>
        <w:rPr>
          <w:rFonts w:ascii="Arial" w:cs="Arial" w:eastAsia="Arial" w:hAnsi="Arial"/>
          <w:sz w:val="17"/>
          <w:szCs w:val="17"/>
          <w:color w:val="auto"/>
        </w:rPr>
        <w:t>As noted above, the consideration paid for the acquisition of Ambrell includes contingent consideration in the form of earnouts based on the future adjusted EBITDA of Ambrell. Adjusted EBITDA is earnings (or loss) from operations before interest expense, benefit or provision for income taxes, depreciation and amortization, and excludes other non-recurring income and expense items as defined in the stock purchase agreement for Ambrell. The first earnout, to be paid after calendar year 2017 was completed, was an amount equal to 8x Ambrell's adjusted EBITDA for 2017 minus the $22,000 paid at closing. At March 31, 2018, we had accrued $5,833 as earnout payable representing the amount of the first earnout. This amount was paid in April 2018. The second earnout, if any, to be paid after calendar year 2018 is completed, will be an amount equal to 8x Ambrell's adjusted EBITDA for 2018 minus the sum of the $22,000 paid at closing and $5,833, the earnout paid with respect to 2017. The 2017 and 2018 earnouts, in the aggregate, are capped at $18,000. To estimate the fair value of the contingent consideration at the acquisition date and at the end of each quarter, an option based income approach using a Monte Carlo simulation model is utilized due to the non-linear payout structure. As of the acquisition date, this resulted in an estimated fair value of $4,123 for the 2017 and 2018 earnouts. This amount was recorded as a contingent consideration liability and included in the purchase price as of the acquisition date. At March 31, 2018, this same approach resulted in an estimated fair value of $6,992 for the 2018 earnout which is recorded as a contingent consideration liability on our balance sheet. Changes in the amount of the estimated fair value of the earnouts since the acquisition date are recorded as operating expenses in our statement of operations in the quarter in which they occur.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total purchase price of $26,733 has been allocated as follows:</w:t>
            </w:r>
          </w:p>
        </w:tc>
        <w:tc>
          <w:tcPr>
            <w:tcW w:w="1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r>
      <w:tr>
        <w:trPr>
          <w:trHeight w:val="216"/>
        </w:trPr>
        <w:tc>
          <w:tcPr>
            <w:tcW w:w="4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16,300</w:t>
            </w: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Cash</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3,621</w:t>
            </w: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r>
      <w:tr>
        <w:trPr>
          <w:trHeight w:val="216"/>
        </w:trPr>
        <w:tc>
          <w:tcPr>
            <w:tcW w:w="48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r>
      <w:tr>
        <w:trPr>
          <w:trHeight w:val="216"/>
        </w:trPr>
        <w:tc>
          <w:tcPr>
            <w:tcW w:w="48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r>
      <w:tr>
        <w:trPr>
          <w:trHeight w:val="20"/>
        </w:trPr>
        <w:tc>
          <w:tcPr>
            <w:tcW w:w="4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r>
      <w:tr>
        <w:trPr>
          <w:trHeight w:val="20"/>
        </w:trPr>
        <w:tc>
          <w:tcPr>
            <w:tcW w:w="48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820" w:right="100"/>
        <w:spacing w:after="0" w:line="256"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Identifiable intangible assets acquired include customer relationships, customer backlog, technology and trademarks.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w:t>
      </w:r>
    </w:p>
    <w:p>
      <w:pPr>
        <w:spacing w:after="0" w:line="191" w:lineRule="exact"/>
        <w:rPr>
          <w:sz w:val="20"/>
          <w:szCs w:val="20"/>
          <w:color w:val="auto"/>
        </w:rPr>
      </w:pPr>
    </w:p>
    <w:p>
      <w:pPr>
        <w:ind w:left="820" w:right="580"/>
        <w:spacing w:after="0" w:line="277" w:lineRule="auto"/>
        <w:rPr>
          <w:sz w:val="20"/>
          <w:szCs w:val="20"/>
          <w:color w:val="auto"/>
        </w:rPr>
      </w:pPr>
      <w:r>
        <w:rPr>
          <w:rFonts w:ascii="Arial" w:cs="Arial" w:eastAsia="Arial" w:hAnsi="Arial"/>
          <w:sz w:val="18"/>
          <w:szCs w:val="18"/>
          <w:color w:val="auto"/>
        </w:rPr>
        <w:t>The following table summarizes the estimated fair value of Ambrell's identifiable intangible assets and their estimated useful lives as of the acquisition date:</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5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57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Customer backlog</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r>
      <w:tr>
        <w:trPr>
          <w:trHeight w:val="209"/>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10,100</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16,300</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820" w:right="120"/>
        <w:spacing w:after="0" w:line="279" w:lineRule="auto"/>
        <w:rPr>
          <w:sz w:val="20"/>
          <w:szCs w:val="20"/>
          <w:color w:val="auto"/>
        </w:rPr>
      </w:pPr>
      <w:r>
        <w:rPr>
          <w:rFonts w:ascii="Arial" w:cs="Arial" w:eastAsia="Arial" w:hAnsi="Arial"/>
          <w:sz w:val="17"/>
          <w:szCs w:val="17"/>
          <w:color w:val="auto"/>
        </w:rPr>
        <w:t>The following unaudited pro forma information gives effect to the acquisition of Ambrell as if the acquisition occurred on January 1, 2017. This proforma summary information does not reflect any operating efficiencies or costs savings that may be achieved by the combined businesses. It is presented for informational purposes only and is not necessarily indicative of what the actual results of operations would have been had the acquisition taken place as of that date, nor is it indicative of future consolidated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93"/>
              </w:rPr>
              <w:t>Three</w:t>
            </w: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90"/>
              </w:rPr>
              <w:t>Months</w:t>
            </w: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90"/>
              </w:rPr>
              <w:t>Ended</w:t>
            </w: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1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color w:val="auto"/>
              </w:rPr>
              <w:t>18,792</w:t>
            </w: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earnings</w:t>
            </w:r>
          </w:p>
        </w:tc>
        <w:tc>
          <w:tcPr>
            <w:tcW w:w="2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1,660</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color w:val="auto"/>
              </w:rPr>
              <w:t>0.16</w:t>
            </w:r>
          </w:p>
        </w:tc>
        <w:tc>
          <w:tcPr>
            <w:tcW w:w="100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00" w:type="dxa"/>
            <w:vAlign w:val="bottom"/>
          </w:tcPr>
          <w:p>
            <w:pPr>
              <w:jc w:val="right"/>
              <w:ind w:right="1070"/>
              <w:spacing w:after="0"/>
              <w:rPr>
                <w:sz w:val="20"/>
                <w:szCs w:val="20"/>
                <w:color w:val="auto"/>
              </w:rPr>
            </w:pPr>
            <w:r>
              <w:rPr>
                <w:rFonts w:ascii="Arial" w:cs="Arial" w:eastAsia="Arial" w:hAnsi="Arial"/>
                <w:sz w:val="18"/>
                <w:szCs w:val="18"/>
                <w:color w:val="auto"/>
              </w:rPr>
              <w:t>- 12 -</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5538470</wp:posOffset>
            </wp:positionH>
            <wp:positionV relativeFrom="paragraph">
              <wp:posOffset>-770255</wp:posOffset>
            </wp:positionV>
            <wp:extent cx="107950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9500" cy="137160"/>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-495935</wp:posOffset>
            </wp:positionV>
            <wp:extent cx="107950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9500" cy="13716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20" w:right="200"/>
        <w:spacing w:after="0" w:line="277"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$935 incurred by us as a direct result of the transaction.</w:t>
      </w:r>
    </w:p>
    <w:p>
      <w:pPr>
        <w:spacing w:after="0" w:line="200" w:lineRule="exact"/>
        <w:rPr>
          <w:sz w:val="20"/>
          <w:szCs w:val="20"/>
          <w:color w:val="auto"/>
        </w:rPr>
      </w:pPr>
    </w:p>
    <w:p>
      <w:pPr>
        <w:spacing w:after="0" w:line="209"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8" w:lineRule="exact"/>
        <w:rPr>
          <w:rFonts w:ascii="Arial" w:cs="Arial" w:eastAsia="Arial" w:hAnsi="Arial"/>
          <w:sz w:val="18"/>
          <w:szCs w:val="18"/>
          <w:b w:val="1"/>
          <w:bCs w:val="1"/>
          <w:color w:val="auto"/>
        </w:rPr>
      </w:pPr>
    </w:p>
    <w:p>
      <w:pPr>
        <w:ind w:left="80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91" w:lineRule="exact"/>
        <w:rPr>
          <w:sz w:val="20"/>
          <w:szCs w:val="20"/>
          <w:color w:val="auto"/>
        </w:rPr>
      </w:pPr>
    </w:p>
    <w:p>
      <w:pPr>
        <w:ind w:left="800" w:right="300"/>
        <w:spacing w:after="0" w:line="286" w:lineRule="auto"/>
        <w:rPr>
          <w:sz w:val="20"/>
          <w:szCs w:val="20"/>
          <w:color w:val="auto"/>
        </w:rPr>
      </w:pPr>
      <w:r>
        <w:rPr>
          <w:rFonts w:ascii="Arial" w:cs="Arial" w:eastAsia="Arial" w:hAnsi="Arial"/>
          <w:sz w:val="17"/>
          <w:szCs w:val="17"/>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65" w:lineRule="exact"/>
        <w:rPr>
          <w:sz w:val="20"/>
          <w:szCs w:val="20"/>
          <w:color w:val="auto"/>
        </w:rPr>
      </w:pPr>
    </w:p>
    <w:p>
      <w:pPr>
        <w:ind w:left="82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Valuations based on unadjusted quoted prices in active markets for identical assets or liabilities that we have the ability to access.</w:t>
      </w:r>
    </w:p>
    <w:p>
      <w:pPr>
        <w:spacing w:after="0" w:line="225" w:lineRule="exact"/>
        <w:rPr>
          <w:sz w:val="20"/>
          <w:szCs w:val="20"/>
          <w:color w:val="auto"/>
        </w:rPr>
      </w:pPr>
    </w:p>
    <w:p>
      <w:pPr>
        <w:ind w:left="1580" w:right="560" w:hanging="755"/>
        <w:spacing w:after="0" w:line="341"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25" w:lineRule="exact"/>
        <w:rPr>
          <w:sz w:val="20"/>
          <w:szCs w:val="20"/>
          <w:color w:val="auto"/>
        </w:rPr>
      </w:pPr>
    </w:p>
    <w:p>
      <w:pPr>
        <w:ind w:left="820"/>
        <w:spacing w:after="0"/>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ind w:left="800" w:right="18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left="800" w:right="180"/>
        <w:spacing w:after="0" w:line="272" w:lineRule="auto"/>
        <w:rPr>
          <w:sz w:val="20"/>
          <w:szCs w:val="20"/>
          <w:color w:val="auto"/>
        </w:rPr>
      </w:pPr>
      <w:r>
        <w:rPr>
          <w:rFonts w:ascii="Arial" w:cs="Arial" w:eastAsia="Arial" w:hAnsi="Arial"/>
          <w:sz w:val="17"/>
          <w:szCs w:val="17"/>
          <w:color w:val="auto"/>
        </w:rPr>
        <w:t>The contingent consideration liability on our balance sheets is measured at fair value on a recurring basis using Level 3 inputs. Our contingent consideration liability is a result of our acquisition of Ambrell on May 24, 2017, and it represents the estimated fair value of the additional cash consideration payable that is contingent upon the achievement of certain financial results by Ambrell in 2018,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 During the first quarter of 2018, we recorded a $1,726 increase in the fair value of our contingent consideration liability, primarily as a result of an increase in the projected adjusted EBITDA of Ambrell for the year ended December 31, 2018.</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Amounts at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8"/>
          </w:tcPr>
          <w:p>
            <w:pPr>
              <w:ind w:left="640"/>
              <w:spacing w:after="0"/>
              <w:rPr>
                <w:sz w:val="20"/>
                <w:szCs w:val="20"/>
                <w:color w:val="auto"/>
              </w:rPr>
            </w:pPr>
            <w:r>
              <w:rPr>
                <w:rFonts w:ascii="Arial" w:cs="Arial" w:eastAsia="Arial" w:hAnsi="Arial"/>
                <w:sz w:val="18"/>
                <w:szCs w:val="18"/>
                <w:b w:val="1"/>
                <w:bCs w:val="1"/>
                <w:color w:val="auto"/>
              </w:rPr>
              <w:t>Fair Value Measurement Using</w:t>
            </w:r>
          </w:p>
        </w:tc>
      </w:tr>
      <w:tr>
        <w:trPr>
          <w:trHeight w:val="209"/>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ind w:right="780"/>
              <w:spacing w:after="0"/>
              <w:rPr>
                <w:sz w:val="20"/>
                <w:szCs w:val="20"/>
                <w:color w:val="auto"/>
              </w:rPr>
            </w:pPr>
            <w:r>
              <w:rPr>
                <w:rFonts w:ascii="Arial" w:cs="Arial" w:eastAsia="Arial" w:hAnsi="Arial"/>
                <w:sz w:val="18"/>
                <w:szCs w:val="18"/>
                <w:b w:val="1"/>
                <w:bCs w:val="1"/>
                <w:color w:val="auto"/>
              </w:rPr>
              <w:t>Level 1</w:t>
            </w:r>
          </w:p>
        </w:tc>
        <w:tc>
          <w:tcPr>
            <w:tcW w:w="1400" w:type="dxa"/>
            <w:vAlign w:val="bottom"/>
            <w:tcBorders>
              <w:top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Level 2</w:t>
            </w: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2018</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6,992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6,992</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Changes in the fair value of our Level 3 contingent consideration liability for the three months ended March 31, 2018 were as follows: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-121920</wp:posOffset>
            </wp:positionV>
            <wp:extent cx="651891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891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5715</wp:posOffset>
            </wp:positionV>
            <wp:extent cx="651891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8910"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Transfer of contingent consideration liability to earnout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158750</wp:posOffset>
            </wp:positionV>
            <wp:extent cx="651891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8910" cy="162560"/>
                    </a:xfrm>
                    <a:prstGeom prst="rect">
                      <a:avLst/>
                    </a:prstGeom>
                    <a:noFill/>
                  </pic:spPr>
                </pic:pic>
              </a:graphicData>
            </a:graphic>
          </wp:anchor>
        </w:drawing>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end of period</w:t>
      </w:r>
    </w:p>
    <w:p>
      <w:pPr>
        <w:spacing w:after="0" w:line="225" w:lineRule="exact"/>
        <w:rPr>
          <w:sz w:val="20"/>
          <w:szCs w:val="20"/>
          <w:color w:val="auto"/>
        </w:rPr>
      </w:pPr>
    </w:p>
    <w:p>
      <w:pPr>
        <w:jc w:val="right"/>
        <w:ind w:right="3154"/>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74"/>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74"/>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74"/>
        <w:spacing w:after="0"/>
        <w:rPr>
          <w:sz w:val="20"/>
          <w:szCs w:val="20"/>
          <w:color w:val="auto"/>
        </w:rPr>
      </w:pPr>
      <w:r>
        <w:rPr>
          <w:rFonts w:ascii="Arial" w:cs="Arial" w:eastAsia="Arial" w:hAnsi="Arial"/>
          <w:sz w:val="18"/>
          <w:szCs w:val="18"/>
          <w:b w:val="1"/>
          <w:bCs w:val="1"/>
          <w:color w:val="auto"/>
        </w:rPr>
        <w:t>March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76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ind w:left="1126" w:hanging="1126"/>
        <w:spacing w:after="0"/>
        <w:tabs>
          <w:tab w:leader="none" w:pos="1126" w:val="left"/>
        </w:tabs>
        <w:numPr>
          <w:ilvl w:val="0"/>
          <w:numId w:val="6"/>
        </w:numPr>
        <w:rPr>
          <w:rFonts w:ascii="Arial" w:cs="Arial" w:eastAsia="Arial" w:hAnsi="Arial"/>
          <w:sz w:val="18"/>
          <w:szCs w:val="18"/>
          <w:color w:val="auto"/>
        </w:rPr>
      </w:pPr>
      <w:r>
        <w:rPr>
          <w:rFonts w:ascii="Arial" w:cs="Arial" w:eastAsia="Arial" w:hAnsi="Arial"/>
          <w:sz w:val="18"/>
          <w:szCs w:val="18"/>
          <w:color w:val="auto"/>
        </w:rPr>
        <w:t>5,744</w:t>
      </w:r>
    </w:p>
    <w:p>
      <w:pPr>
        <w:spacing w:after="0" w:line="22" w:lineRule="exact"/>
        <w:rPr>
          <w:rFonts w:ascii="Arial" w:cs="Arial" w:eastAsia="Arial" w:hAnsi="Arial"/>
          <w:sz w:val="18"/>
          <w:szCs w:val="18"/>
          <w:color w:val="auto"/>
        </w:rPr>
      </w:pPr>
    </w:p>
    <w:p>
      <w:pPr>
        <w:ind w:left="1126"/>
        <w:spacing w:after="0"/>
        <w:rPr>
          <w:rFonts w:ascii="Arial" w:cs="Arial" w:eastAsia="Arial" w:hAnsi="Arial"/>
          <w:sz w:val="18"/>
          <w:szCs w:val="18"/>
          <w:color w:val="auto"/>
        </w:rPr>
      </w:pPr>
      <w:r>
        <w:rPr>
          <w:rFonts w:ascii="Arial" w:cs="Arial" w:eastAsia="Arial" w:hAnsi="Arial"/>
          <w:sz w:val="18"/>
          <w:szCs w:val="18"/>
          <w:color w:val="auto"/>
        </w:rPr>
        <w:t>1,726</w:t>
      </w:r>
    </w:p>
    <w:p>
      <w:pPr>
        <w:spacing w:after="0" w:line="8" w:lineRule="exact"/>
        <w:rPr>
          <w:rFonts w:ascii="Arial" w:cs="Arial" w:eastAsia="Arial" w:hAnsi="Arial"/>
          <w:sz w:val="18"/>
          <w:szCs w:val="18"/>
          <w:color w:val="auto"/>
        </w:rPr>
      </w:pPr>
    </w:p>
    <w:p>
      <w:pPr>
        <w:ind w:left="1206"/>
        <w:spacing w:after="0"/>
        <w:rPr>
          <w:rFonts w:ascii="Arial" w:cs="Arial" w:eastAsia="Arial" w:hAnsi="Arial"/>
          <w:sz w:val="18"/>
          <w:szCs w:val="18"/>
          <w:color w:val="auto"/>
        </w:rPr>
      </w:pPr>
      <w:r>
        <w:rPr>
          <w:rFonts w:ascii="Arial" w:cs="Arial" w:eastAsia="Arial" w:hAnsi="Arial"/>
          <w:sz w:val="17"/>
          <w:szCs w:val="17"/>
          <w:color w:val="auto"/>
        </w:rPr>
        <w:t>(478)</w:t>
      </w:r>
    </w:p>
    <w:p>
      <w:pPr>
        <w:spacing w:after="0" w:line="235" w:lineRule="exact"/>
        <w:rPr>
          <w:sz w:val="20"/>
          <w:szCs w:val="20"/>
          <w:color w:val="auto"/>
        </w:rPr>
      </w:pPr>
    </w:p>
    <w:p>
      <w:pPr>
        <w:ind w:left="1126" w:hanging="1126"/>
        <w:spacing w:after="0"/>
        <w:tabs>
          <w:tab w:leader="none" w:pos="1126" w:val="left"/>
        </w:tabs>
        <w:numPr>
          <w:ilvl w:val="0"/>
          <w:numId w:val="7"/>
        </w:numPr>
        <w:rPr>
          <w:rFonts w:ascii="Arial" w:cs="Arial" w:eastAsia="Arial" w:hAnsi="Arial"/>
          <w:sz w:val="18"/>
          <w:szCs w:val="18"/>
          <w:color w:val="auto"/>
        </w:rPr>
      </w:pPr>
      <w:r>
        <w:rPr>
          <w:rFonts w:ascii="Arial" w:cs="Arial" w:eastAsia="Arial" w:hAnsi="Arial"/>
          <w:sz w:val="18"/>
          <w:szCs w:val="18"/>
          <w:color w:val="auto"/>
        </w:rPr>
        <w:t>6,992</w:t>
      </w:r>
    </w:p>
    <w:p>
      <w:pPr>
        <w:sectPr>
          <w:pgSz w:w="11900" w:h="16838" w:orient="portrait"/>
          <w:cols w:equalWidth="0" w:num="2">
            <w:col w:w="9054" w:space="720"/>
            <w:col w:w="1626"/>
          </w:cols>
          <w:pgMar w:left="240" w:top="118" w:right="25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740" w:hanging="732"/>
        <w:spacing w:after="0"/>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Goodwill and intangible assets on our balance sheets are the result of our acquisitions of Sigma Systems Corp. ("Sigma") in October 2008,</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Thermonics, Inc. ("Thermonics") in January 2012 and Ambrell in May 2017. All of our goodwill and intangible assets are allocated to our</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Thermal segment. Goodwill totaled $13,738 at each of March 31, 2018 and December 31, 2017.</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Changes in the amount of the carrying value of finite-lived intangible assets for the three months ended March 31, 2018 are as follows: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2018</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Amortization</w:t>
            </w: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tables provide further detail about our intangible assets as of March 31, 2018 and December 31,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8,494</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backlog</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3,492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9,088</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62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8"/>
              </w:rPr>
              <w:t>December 31, 2017</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8,652</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backlog</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9,304</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jc w:val="both"/>
        <w:ind w:left="800" w:right="220"/>
        <w:spacing w:after="0" w:line="263"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3" w:lineRule="exact"/>
        <w:rPr>
          <w:sz w:val="20"/>
          <w:szCs w:val="20"/>
          <w:color w:val="auto"/>
        </w:rPr>
      </w:pPr>
    </w:p>
    <w:p>
      <w:pPr>
        <w:ind w:left="800" w:right="260"/>
        <w:spacing w:after="0" w:line="307" w:lineRule="auto"/>
        <w:rPr>
          <w:sz w:val="20"/>
          <w:szCs w:val="20"/>
          <w:color w:val="auto"/>
        </w:rPr>
      </w:pPr>
      <w:r>
        <w:rPr>
          <w:rFonts w:ascii="Arial" w:cs="Arial" w:eastAsia="Arial" w:hAnsi="Arial"/>
          <w:sz w:val="17"/>
          <w:szCs w:val="17"/>
          <w:color w:val="auto"/>
        </w:rPr>
        <w:t>Total amortization expense for our finite-lived intangible assets was $216 and $53, respectively, for the three months ended March 31, 2018 and 2017. The following table sets forth the estimated annual amortization expense for each of the next five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2018 (remainder)</w:t>
            </w:r>
          </w:p>
        </w:tc>
        <w:tc>
          <w:tcPr>
            <w:tcW w:w="5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2019</w:t>
            </w:r>
          </w:p>
        </w:tc>
        <w:tc>
          <w:tcPr>
            <w:tcW w:w="5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2021</w:t>
            </w:r>
          </w:p>
        </w:tc>
        <w:tc>
          <w:tcPr>
            <w:tcW w:w="5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580" w:type="dxa"/>
            <w:vAlign w:val="bottom"/>
          </w:tcPr>
          <w:p>
            <w:pPr>
              <w:spacing w:after="0"/>
              <w:rPr>
                <w:sz w:val="18"/>
                <w:szCs w:val="18"/>
                <w:color w:val="auto"/>
              </w:rPr>
            </w:pPr>
          </w:p>
        </w:tc>
      </w:tr>
      <w:tr>
        <w:trPr>
          <w:trHeight w:val="432"/>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60" w:type="dxa"/>
            <w:vAlign w:val="bottom"/>
          </w:tcPr>
          <w:p>
            <w:pPr>
              <w:jc w:val="right"/>
              <w:ind w:right="3830"/>
              <w:spacing w:after="0"/>
              <w:rPr>
                <w:sz w:val="20"/>
                <w:szCs w:val="20"/>
                <w:color w:val="auto"/>
              </w:rPr>
            </w:pPr>
            <w:r>
              <w:rPr>
                <w:rFonts w:ascii="Arial" w:cs="Arial" w:eastAsia="Arial" w:hAnsi="Arial"/>
                <w:sz w:val="18"/>
                <w:szCs w:val="18"/>
                <w:color w:val="auto"/>
              </w:rPr>
              <w:t>- 14 -</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Changes in the amount of the allowance for doubtful accounts for the three months ended March 31, 2018 are as follows:</w:t>
      </w:r>
    </w:p>
    <w:p>
      <w:pPr>
        <w:sectPr>
          <w:pgSz w:w="11900" w:h="16838" w:orient="portrait"/>
          <w:cols w:equalWidth="0" w:num="1">
            <w:col w:w="11420"/>
          </w:cols>
          <w:pgMar w:left="240" w:top="118" w:right="239" w:bottom="1440" w:gutter="0" w:footer="0" w:header="0"/>
        </w:sectPr>
      </w:pP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-107315</wp:posOffset>
            </wp:positionV>
            <wp:extent cx="61588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8865" cy="13716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Bad debt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5715</wp:posOffset>
            </wp:positionV>
            <wp:extent cx="615886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886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Write-offs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 March 31, 2018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272" w:hanging="1272"/>
        <w:spacing w:after="0"/>
        <w:tabs>
          <w:tab w:leader="none" w:pos="12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213</w:t>
      </w:r>
    </w:p>
    <w:p>
      <w:pPr>
        <w:spacing w:after="0" w:line="23"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6"/>
          <w:szCs w:val="16"/>
          <w:color w:val="auto"/>
        </w:rPr>
        <w:t>(39)</w:t>
      </w:r>
    </w:p>
    <w:p>
      <w:pPr>
        <w:spacing w:after="0" w:line="31"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6"/>
          <w:szCs w:val="16"/>
          <w:color w:val="auto"/>
        </w:rPr>
        <w:t>(22)</w:t>
      </w:r>
    </w:p>
    <w:p>
      <w:pPr>
        <w:spacing w:after="0" w:line="32" w:lineRule="exact"/>
        <w:rPr>
          <w:sz w:val="20"/>
          <w:szCs w:val="20"/>
          <w:color w:val="auto"/>
        </w:rPr>
      </w:pPr>
    </w:p>
    <w:p>
      <w:pPr>
        <w:ind w:left="1272" w:hanging="1272"/>
        <w:spacing w:after="0"/>
        <w:tabs>
          <w:tab w:leader="none" w:pos="1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9766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9766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8488" w:space="720"/>
            <w:col w:w="2212"/>
          </w:cols>
          <w:pgMar w:left="240" w:top="118" w:right="239" w:bottom="1440" w:gutter="0" w:footer="0" w:header="0"/>
          <w:type w:val="continuous"/>
        </w:sectPr>
      </w:pPr>
    </w:p>
    <w:p>
      <w:pPr>
        <w:spacing w:after="0" w:line="48" w:lineRule="exact"/>
        <w:rPr>
          <w:sz w:val="20"/>
          <w:szCs w:val="20"/>
          <w:color w:val="auto"/>
        </w:rPr>
      </w:pPr>
    </w:p>
    <w:p>
      <w:pPr>
        <w:ind w:left="820" w:right="680"/>
        <w:spacing w:after="0" w:line="341" w:lineRule="auto"/>
        <w:rPr>
          <w:sz w:val="20"/>
          <w:szCs w:val="20"/>
          <w:color w:val="auto"/>
        </w:rPr>
      </w:pPr>
      <w:r>
        <w:rPr>
          <w:rFonts w:ascii="Arial" w:cs="Arial" w:eastAsia="Arial" w:hAnsi="Arial"/>
          <w:sz w:val="16"/>
          <w:szCs w:val="16"/>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End user</w:t>
            </w: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16,328</w:t>
            </w:r>
          </w:p>
        </w:tc>
        <w:tc>
          <w:tcPr>
            <w:tcW w:w="12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18,871</w:t>
            </w:r>
          </w:p>
        </w:tc>
        <w:tc>
          <w:tcPr>
            <w:tcW w:w="12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1000" w:type="dxa"/>
            <w:vAlign w:val="bottom"/>
            <w:gridSpan w:val="2"/>
            <w:shd w:val="clear" w:color="auto" w:fill="CCEEFF"/>
          </w:tcPr>
          <w:p>
            <w:pPr>
              <w:jc w:val="right"/>
              <w:ind w:right="83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Induction heating</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production test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Service/other</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3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18,871</w:t>
            </w:r>
          </w:p>
        </w:tc>
        <w:tc>
          <w:tcPr>
            <w:tcW w:w="1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14,180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Semiconductor</w:t>
            </w: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10,539</w:t>
            </w:r>
          </w:p>
        </w:tc>
        <w:tc>
          <w:tcPr>
            <w:tcW w:w="12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Telecommunications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non-semiconductor markets</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18,871</w:t>
            </w:r>
          </w:p>
        </w:tc>
        <w:tc>
          <w:tcPr>
            <w:tcW w:w="12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8" w:lineRule="exact"/>
        <w:rPr>
          <w:rFonts w:ascii="Arial" w:cs="Arial" w:eastAsia="Arial" w:hAnsi="Arial"/>
          <w:sz w:val="18"/>
          <w:szCs w:val="18"/>
          <w:b w:val="1"/>
          <w:bCs w:val="1"/>
          <w:color w:val="auto"/>
        </w:rPr>
      </w:pPr>
    </w:p>
    <w:p>
      <w:pPr>
        <w:ind w:left="800" w:right="2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During the three months ended March 31, 2018 and 2017, Texas Instruments Incorporated accounted for 11% and 13% of our consolidated net revenues, respectively. While both of our segments sold to this customer, these revenues were primarily generated by our EMS segment. During the three months ended March 31, 2017, Hakuto Co., Ltd., one of our distributors, accounted for 13% of our consolidated net revenues. These revenues were generated by our Thermal segment. No other customers accounted for 10% or more of our consolidated net revenues during the three months ended March 31, 2018 and 2017.</w:t>
      </w:r>
    </w:p>
    <w:p>
      <w:pPr>
        <w:spacing w:after="0" w:line="200" w:lineRule="exact"/>
        <w:rPr>
          <w:rFonts w:ascii="Arial" w:cs="Arial" w:eastAsia="Arial" w:hAnsi="Arial"/>
          <w:sz w:val="18"/>
          <w:szCs w:val="18"/>
          <w:b w:val="1"/>
          <w:bCs w:val="1"/>
          <w:color w:val="auto"/>
        </w:rPr>
      </w:pPr>
    </w:p>
    <w:p>
      <w:pPr>
        <w:spacing w:after="0" w:line="213" w:lineRule="exact"/>
        <w:rPr>
          <w:rFonts w:ascii="Arial" w:cs="Arial" w:eastAsia="Arial" w:hAnsi="Arial"/>
          <w:sz w:val="18"/>
          <w:szCs w:val="18"/>
          <w:b w:val="1"/>
          <w:bCs w:val="1"/>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March 31, 2018 and December 31, 2017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5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Work in process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Finished goods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5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412"/>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60" w:type="dxa"/>
            <w:vAlign w:val="bottom"/>
          </w:tcPr>
          <w:p>
            <w:pPr>
              <w:jc w:val="right"/>
              <w:ind w:right="1470"/>
              <w:spacing w:after="0"/>
              <w:rPr>
                <w:sz w:val="20"/>
                <w:szCs w:val="20"/>
                <w:color w:val="auto"/>
              </w:rPr>
            </w:pPr>
            <w:r>
              <w:rPr>
                <w:rFonts w:ascii="Arial" w:cs="Arial" w:eastAsia="Arial" w:hAnsi="Arial"/>
                <w:sz w:val="18"/>
                <w:szCs w:val="18"/>
                <w:color w:val="auto"/>
              </w:rPr>
              <w:t>- 15 -</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4" w:lineRule="exact"/>
        <w:rPr>
          <w:rFonts w:ascii="Arial" w:cs="Arial" w:eastAsia="Arial" w:hAnsi="Arial"/>
          <w:sz w:val="18"/>
          <w:szCs w:val="18"/>
          <w:b w:val="1"/>
          <w:bCs w:val="1"/>
          <w:color w:val="auto"/>
        </w:rPr>
      </w:pPr>
    </w:p>
    <w:p>
      <w:pPr>
        <w:ind w:left="80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March 31, 2018 and December 31, 2017 consisted of the following: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Letters of Credit</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20"/>
                <w:szCs w:val="20"/>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Amount Outstanding</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Original L/C</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15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Expiration</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3/31/2019</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4/30/2021 $</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Mansfield, MA</w:t>
            </w:r>
          </w:p>
        </w:tc>
        <w:tc>
          <w:tcPr>
            <w:tcW w:w="1240" w:type="dxa"/>
            <w:vAlign w:val="bottom"/>
          </w:tcPr>
          <w:p>
            <w:pPr>
              <w:jc w:val="right"/>
              <w:spacing w:after="0"/>
              <w:rPr>
                <w:sz w:val="20"/>
                <w:szCs w:val="20"/>
                <w:color w:val="auto"/>
              </w:rPr>
            </w:pPr>
            <w:r>
              <w:rPr>
                <w:rFonts w:ascii="Arial" w:cs="Arial" w:eastAsia="Arial" w:hAnsi="Arial"/>
                <w:sz w:val="18"/>
                <w:szCs w:val="18"/>
                <w:color w:val="auto"/>
              </w:rPr>
              <w:t>10/27/2010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11/08/2018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8/23/2021</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8" w:lineRule="exact"/>
        <w:rPr>
          <w:rFonts w:ascii="Arial" w:cs="Arial" w:eastAsia="Arial" w:hAnsi="Arial"/>
          <w:sz w:val="18"/>
          <w:szCs w:val="18"/>
          <w:b w:val="1"/>
          <w:bCs w:val="1"/>
          <w:color w:val="auto"/>
        </w:rPr>
      </w:pPr>
    </w:p>
    <w:p>
      <w:pPr>
        <w:ind w:left="80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2018, we have unvested restricted stock awards and stock options granted under stock-based compensation plans that are described more fully in Note 13 to the consolidated financial statements in our 2017 Form 10-K.</w:t>
      </w:r>
    </w:p>
    <w:p>
      <w:pPr>
        <w:spacing w:after="0" w:line="169" w:lineRule="exact"/>
        <w:rPr>
          <w:rFonts w:ascii="Arial" w:cs="Arial" w:eastAsia="Arial" w:hAnsi="Arial"/>
          <w:sz w:val="18"/>
          <w:szCs w:val="18"/>
          <w:b w:val="1"/>
          <w:bCs w:val="1"/>
          <w:color w:val="auto"/>
        </w:rPr>
      </w:pPr>
    </w:p>
    <w:p>
      <w:pPr>
        <w:ind w:left="800"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March 31, 2018, total unrecognized compensation expense related to unvested restricted stock awards and stock options was $1,511. The weighted average period over which this expense is expected to be recognized is 3.3 years. The following table shows the allocation of the compensation expense we recorded during the three months ended March 31, 2018 and 2017, respectively, related to stock-based compensation:</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Selling expense</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4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49"/>
        </w:trPr>
        <w:tc>
          <w:tcPr>
            <w:tcW w:w="48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There was no stock-based compensation expense capitalized in the three months ended March 31, 2018 or 2017.</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800" w:right="240"/>
        <w:spacing w:after="0" w:line="256" w:lineRule="auto"/>
        <w:rPr>
          <w:sz w:val="20"/>
          <w:szCs w:val="20"/>
          <w:color w:val="auto"/>
        </w:rPr>
      </w:pPr>
      <w:r>
        <w:rPr>
          <w:rFonts w:ascii="Arial" w:cs="Arial" w:eastAsia="Arial" w:hAnsi="Arial"/>
          <w:sz w:val="18"/>
          <w:szCs w:val="18"/>
          <w:color w:val="auto"/>
        </w:rPr>
        <w:t>We record compensation expense for restricted stock awards based on the quoted market price of our stock at the grant date and amortize the expense over the vesting period. Restricted stock awards generally vest over four years. However, in March 2018 and 2017, we granted 32,000 and 22,500 shares of restricted stock, respectively, to our independent directors. These shares vest 25% at each of March 31, June 30, September 30, and December 31 of the year in which they were granted. The total compensation expense related to these shares is $270 and $143, respectively, and is recorded as the shares vest.</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Grant Date</w:t>
            </w:r>
          </w:p>
        </w:tc>
        <w:tc>
          <w:tcPr>
            <w:tcW w:w="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2018</w:t>
            </w:r>
          </w:p>
        </w:tc>
        <w:tc>
          <w:tcPr>
            <w:tcW w:w="4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75,225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Granted</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79,200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4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March 31, 2018</w:t>
            </w:r>
          </w:p>
        </w:tc>
        <w:tc>
          <w:tcPr>
            <w:tcW w:w="30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133,225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21"/>
                <w:szCs w:val="21"/>
                <w:color w:val="auto"/>
              </w:rPr>
            </w:pPr>
          </w:p>
        </w:tc>
      </w:tr>
      <w:tr>
        <w:trPr>
          <w:trHeight w:val="412"/>
        </w:trPr>
        <w:tc>
          <w:tcPr>
            <w:tcW w:w="114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jc w:val="right"/>
              <w:ind w:right="2050"/>
              <w:spacing w:after="0"/>
              <w:rPr>
                <w:sz w:val="20"/>
                <w:szCs w:val="20"/>
                <w:color w:val="auto"/>
              </w:rPr>
            </w:pPr>
            <w:r>
              <w:rPr>
                <w:rFonts w:ascii="Arial" w:cs="Arial" w:eastAsia="Arial" w:hAnsi="Arial"/>
                <w:sz w:val="18"/>
                <w:szCs w:val="18"/>
                <w:color w:val="auto"/>
              </w:rPr>
              <w:t>- 16 -</w:t>
            </w:r>
          </w:p>
        </w:tc>
        <w:tc>
          <w:tcPr>
            <w:tcW w:w="15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The total fair value of the shares that vested during the three months ended March 31, 2018 and 2017 was $169 and $105, respectively, as of the vesting dates of these shares.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jc w:val="both"/>
        <w:ind w:left="800" w:right="80"/>
        <w:spacing w:after="0" w:line="263"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fair value for stock options granted during the three months ended March 31, 2018 and 2017 was estimated at the date of grant using the</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three months ended March 31, 2018 and 2017 was $3.61 and $2.64, respectively.</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related to stock options for the three months ended March 31, 2018:</w:t>
      </w:r>
    </w:p>
    <w:p>
      <w:pPr>
        <w:sectPr>
          <w:pgSz w:w="11900" w:h="16838" w:orient="portrait"/>
          <w:cols w:equalWidth="0" w:num="1">
            <w:col w:w="11200"/>
          </w:cols>
          <w:pgMar w:left="240" w:top="11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Options outstanding, January 1, 2018 (4,950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-107315</wp:posOffset>
            </wp:positionV>
            <wp:extent cx="61588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8865" cy="13716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5715</wp:posOffset>
            </wp:positionV>
            <wp:extent cx="615886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8865"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13970</wp:posOffset>
            </wp:positionV>
            <wp:extent cx="615886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8865" cy="162560"/>
                    </a:xfrm>
                    <a:prstGeom prst="rect">
                      <a:avLst/>
                    </a:prstGeom>
                    <a:noFill/>
                  </pic:spPr>
                </pic:pic>
              </a:graphicData>
            </a:graphic>
          </wp:anchor>
        </w:drawing>
      </w:r>
    </w:p>
    <w:p>
      <w:pPr>
        <w:spacing w:after="0" w:line="28"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Options outstanding, March 31, 2018 (22,700 exercisable)</w:t>
      </w:r>
    </w:p>
    <w:p>
      <w:pPr>
        <w:spacing w:after="0" w:line="200" w:lineRule="exact"/>
        <w:rPr>
          <w:sz w:val="20"/>
          <w:szCs w:val="20"/>
          <w:color w:val="auto"/>
        </w:rPr>
      </w:pPr>
    </w:p>
    <w:p>
      <w:pPr>
        <w:spacing w:after="0" w:line="263"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76,400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5.98</w:t>
            </w:r>
          </w:p>
        </w:tc>
        <w:tc>
          <w:tcPr>
            <w:tcW w:w="20" w:type="dxa"/>
            <w:vAlign w:val="bottom"/>
          </w:tcPr>
          <w:p>
            <w:pPr>
              <w:spacing w:after="0"/>
              <w:rPr>
                <w:sz w:val="16"/>
                <w:szCs w:val="16"/>
                <w:color w:val="auto"/>
              </w:rPr>
            </w:pPr>
          </w:p>
        </w:tc>
      </w:tr>
      <w:tr>
        <w:trPr>
          <w:trHeight w:val="216"/>
        </w:trPr>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140,700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r>
      <w:tr>
        <w:trPr>
          <w:trHeight w:val="216"/>
        </w:trPr>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9"/>
        </w:trPr>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740" w:space="720"/>
            <w:col w:w="3740"/>
          </w:cols>
          <w:pgMar w:left="240" w:top="118" w:right="459" w:bottom="1440" w:gutter="0" w:footer="0" w:header="0"/>
          <w:type w:val="continuous"/>
        </w:sectPr>
      </w:pPr>
    </w:p>
    <w:p>
      <w:pPr>
        <w:spacing w:after="0" w:line="29" w:lineRule="exact"/>
        <w:rPr>
          <w:sz w:val="20"/>
          <w:szCs w:val="20"/>
          <w:color w:val="auto"/>
        </w:rPr>
      </w:pPr>
    </w:p>
    <w:p>
      <w:pPr>
        <w:ind w:left="800" w:right="40"/>
        <w:spacing w:after="0" w:line="275" w:lineRule="auto"/>
        <w:rPr>
          <w:sz w:val="20"/>
          <w:szCs w:val="20"/>
          <w:color w:val="auto"/>
        </w:rPr>
      </w:pPr>
      <w:r>
        <w:rPr>
          <w:rFonts w:ascii="Arial" w:cs="Arial" w:eastAsia="Arial" w:hAnsi="Arial"/>
          <w:sz w:val="17"/>
          <w:szCs w:val="17"/>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ended March 31, 2018 and 2017, we recorded $121 and $163 of expense for matching contributions, respectively.</w:t>
      </w:r>
    </w:p>
    <w:p>
      <w:pPr>
        <w:spacing w:after="0" w:line="175" w:lineRule="exact"/>
        <w:rPr>
          <w:sz w:val="20"/>
          <w:szCs w:val="20"/>
          <w:color w:val="auto"/>
        </w:rPr>
      </w:pPr>
    </w:p>
    <w:p>
      <w:pPr>
        <w:ind w:left="800"/>
        <w:spacing w:after="0" w:line="275" w:lineRule="auto"/>
        <w:rPr>
          <w:sz w:val="20"/>
          <w:szCs w:val="20"/>
          <w:color w:val="auto"/>
        </w:rPr>
      </w:pPr>
      <w:r>
        <w:rPr>
          <w:rFonts w:ascii="Arial" w:cs="Arial" w:eastAsia="Arial" w:hAnsi="Arial"/>
          <w:sz w:val="17"/>
          <w:szCs w:val="17"/>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three months ended March 31, 2018, we made matching contributions of $26.</w:t>
      </w:r>
    </w:p>
    <w:p>
      <w:pPr>
        <w:spacing w:after="0" w:line="200" w:lineRule="exact"/>
        <w:rPr>
          <w:sz w:val="20"/>
          <w:szCs w:val="20"/>
          <w:color w:val="auto"/>
        </w:rPr>
      </w:pPr>
    </w:p>
    <w:p>
      <w:pPr>
        <w:spacing w:after="0" w:line="214"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We have two reportable segments, which are also our reporting units, Thermal and EMS.</w:t>
      </w:r>
    </w:p>
    <w:p>
      <w:pPr>
        <w:spacing w:after="0" w:line="224" w:lineRule="exact"/>
        <w:rPr>
          <w:rFonts w:ascii="Arial" w:cs="Arial" w:eastAsia="Arial" w:hAnsi="Arial"/>
          <w:sz w:val="18"/>
          <w:szCs w:val="18"/>
          <w:b w:val="1"/>
          <w:bCs w:val="1"/>
          <w:color w:val="auto"/>
        </w:rPr>
      </w:pPr>
    </w:p>
    <w:p>
      <w:pPr>
        <w:ind w:left="8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Thermal includes the operations of Temptronic,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w:t>
      </w:r>
    </w:p>
    <w:p>
      <w:pPr>
        <w:spacing w:after="0" w:line="191"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800" w:right="460"/>
        <w:spacing w:after="0" w:line="307" w:lineRule="auto"/>
        <w:rPr>
          <w:sz w:val="20"/>
          <w:szCs w:val="20"/>
          <w:color w:val="auto"/>
        </w:rPr>
      </w:pPr>
      <w:r>
        <w:rPr>
          <w:rFonts w:ascii="Arial" w:cs="Arial" w:eastAsia="Arial" w:hAnsi="Arial"/>
          <w:sz w:val="17"/>
          <w:szCs w:val="17"/>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47" w:lineRule="exact"/>
        <w:rPr>
          <w:sz w:val="20"/>
          <w:szCs w:val="20"/>
          <w:color w:val="auto"/>
        </w:rPr>
      </w:pPr>
    </w:p>
    <w:p>
      <w:pPr>
        <w:ind w:left="800" w:right="180"/>
        <w:spacing w:after="0" w:line="259" w:lineRule="auto"/>
        <w:rPr>
          <w:sz w:val="20"/>
          <w:szCs w:val="20"/>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ATE manufacturers and integrators. Thermal also sells into a variety of markets outside of the semiconductor market, including the automotive, consumer electronics, consumer product packaging, defense/aerospace, energy, fiber optics, industrial, telecommunications and other markets.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7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13,234</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18,871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14,180</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320" w:type="dxa"/>
            <w:vAlign w:val="bottom"/>
            <w:tcBorders>
              <w:righ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Thermal</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EMS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0"/>
        </w:trPr>
        <w:tc>
          <w:tcPr>
            <w:tcW w:w="20" w:type="dxa"/>
            <w:vAlign w:val="bottom"/>
          </w:tcPr>
          <w:p>
            <w:pPr>
              <w:spacing w:after="0" w:line="20" w:lineRule="exact"/>
              <w:rPr>
                <w:sz w:val="1"/>
                <w:szCs w:val="1"/>
                <w:color w:val="auto"/>
              </w:rPr>
            </w:pPr>
          </w:p>
        </w:tc>
        <w:tc>
          <w:tcPr>
            <w:tcW w:w="63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50,412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50,408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12,085</w:t>
            </w:r>
          </w:p>
        </w:tc>
      </w:tr>
      <w:tr>
        <w:trPr>
          <w:trHeight w:val="20"/>
        </w:trPr>
        <w:tc>
          <w:tcPr>
            <w:tcW w:w="6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65,433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r>
      <w:tr>
        <w:trPr>
          <w:trHeight w:val="20"/>
        </w:trPr>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800" w:right="46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6,543</w:t>
            </w:r>
          </w:p>
        </w:tc>
        <w:tc>
          <w:tcPr>
            <w:tcW w:w="1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12,328</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1020" w:type="dxa"/>
            <w:vAlign w:val="bottom"/>
            <w:gridSpan w:val="2"/>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18,871</w:t>
            </w:r>
          </w:p>
        </w:tc>
        <w:tc>
          <w:tcPr>
            <w:tcW w:w="1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14,180</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U.S.</w:t>
            </w:r>
          </w:p>
        </w:tc>
        <w:tc>
          <w:tcPr>
            <w:tcW w:w="3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1,967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top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0" w:type="dxa"/>
            <w:vAlign w:val="bottom"/>
            <w:vMerge w:val="restart"/>
          </w:tcPr>
          <w:p>
            <w:pPr>
              <w:jc w:val="right"/>
              <w:ind w:right="1470"/>
              <w:spacing w:after="0"/>
              <w:rPr>
                <w:sz w:val="20"/>
                <w:szCs w:val="20"/>
                <w:color w:val="auto"/>
              </w:rPr>
            </w:pPr>
            <w:r>
              <w:rPr>
                <w:rFonts w:ascii="Arial" w:cs="Arial" w:eastAsia="Arial" w:hAnsi="Arial"/>
                <w:sz w:val="18"/>
                <w:szCs w:val="18"/>
                <w:color w:val="auto"/>
              </w:rPr>
              <w:t>- 18 -</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500"/>
        <w:spacing w:after="0" w:line="289" w:lineRule="auto"/>
        <w:rPr>
          <w:sz w:val="20"/>
          <w:szCs w:val="20"/>
          <w:color w:val="auto"/>
        </w:rPr>
      </w:pPr>
      <w:r>
        <w:rPr>
          <w:rFonts w:ascii="Arial" w:cs="Arial" w:eastAsia="Arial" w:hAnsi="Arial"/>
          <w:sz w:val="16"/>
          <w:szCs w:val="16"/>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“plans” or "anticipates" or similar terminology. See Part I, Item 1 - "Business - Cautionary Statement Regarding Forward-Looking Statements" in our Form 10-K for the year ended December 31, 2017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64"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Form 10-K for the year ended December 31, 2017. Material changes to such risk factors may be reported in subsequent Quarterly Reports on Form 10-Q in Part II, Item 1A. There have been no such changes from the risk factors set forth in our Form 10-K for the year ended December 31, 2017.</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As further discussed below, on May 24, 2017, we acquired Ambrell, which sells its products almost exclusively to customers in the industrial market, which is a non-semiconductor market. We expect that the acquisition of Ambrell will significantly reduce our dependence on customers in the semiconductor market. We expect that our future orders and net revenues will be approximately equally split between the semiconductor and non-semiconductor markets.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64"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In the past, the semiconductor market has been highly cyclical with recurring periods of oversupply, which often have a severe impact on the semiconductor market's demand for ATE, including the products we manufacture. This cyclicality can cause wide fluctuations in both our orders and net revenues and, depending on our ability to react quickly to these shifts in demand, can significantly impact our results of operations. Semiconductor and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9" w:lineRule="exact"/>
        <w:rPr>
          <w:sz w:val="20"/>
          <w:szCs w:val="20"/>
          <w:color w:val="auto"/>
        </w:rPr>
      </w:pPr>
    </w:p>
    <w:p>
      <w:pPr>
        <w:ind w:left="460" w:right="120"/>
        <w:spacing w:after="0" w:line="311" w:lineRule="auto"/>
        <w:rPr>
          <w:sz w:val="20"/>
          <w:szCs w:val="20"/>
          <w:color w:val="auto"/>
        </w:rPr>
      </w:pPr>
      <w:r>
        <w:rPr>
          <w:rFonts w:ascii="Arial" w:cs="Arial" w:eastAsia="Arial" w:hAnsi="Arial"/>
          <w:sz w:val="16"/>
          <w:szCs w:val="16"/>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48"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8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As part of our ongoing strategy to reduce the impact of semiconductor and ATE market volatility on our business operations, we continue to diversify our served markets to address the thermal test requirements of several other markets outside the semiconductor market. These include the automotive, consumer electronics, consumer product packaging, defense/aerospace, energy, fiber optics, industrial, telecommunications and other markets. We believe that these markets usually are less cyclical than the semiconductor and ATE markets. While market share statistics exist for some of the markets we serve outside the semiconductor market, due to the nature of our highly specialized product offerings in these non-semiconductor markets, we do not expect broad market penetration in many of these markets and, therefore, do not anticipate developing meaningful market shares in these non-semiconductor markets. In addition, our orders and net revenues in any given period in these markets do not necessarily reflect the overall trends in these non-semiconductor markets due to our limited market shares. Consequently, we are continuing to evaluate buying patterns and opportunities for growth in these non-semiconductor markets that may affect our performance. The level of our orders and net revenues from these non-semiconductor markets has varied in the past, and we expect will vary significantly in the future, as we work to build our presence in these markets and establish new markets for our products. As previously mentioned, Ambrell, which we acquired in May 2017, sells its products almost exclusively to customers in the industrial market, which is one of the non-semiconductor markets we serve. We expect that the acquisition of Ambrell will significantly increase our orders and net revenues from markets outside the semiconductor market. As a result, we expect that our future orders and net revenues will be approximately equally split between the semiconductor and non-semiconductor markets.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563"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60" w:right="1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the products sold by EMS,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docking hardware and tester interfaces,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prices to be successful in obtaining the sale or causing loss of the sale).</w:t>
      </w:r>
    </w:p>
    <w:p>
      <w:pPr>
        <w:spacing w:after="0" w:line="171" w:lineRule="exact"/>
        <w:rPr>
          <w:sz w:val="20"/>
          <w:szCs w:val="20"/>
          <w:color w:val="auto"/>
        </w:rPr>
      </w:pPr>
    </w:p>
    <w:p>
      <w:pPr>
        <w:ind w:left="460" w:right="240"/>
        <w:spacing w:after="0" w:line="293"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460" w:right="180"/>
        <w:spacing w:after="0" w:line="253" w:lineRule="auto"/>
        <w:rPr>
          <w:sz w:val="20"/>
          <w:szCs w:val="20"/>
          <w:color w:val="auto"/>
        </w:rPr>
      </w:pPr>
      <w:r>
        <w:rPr>
          <w:rFonts w:ascii="Arial" w:cs="Arial" w:eastAsia="Arial" w:hAnsi="Arial"/>
          <w:sz w:val="18"/>
          <w:szCs w:val="18"/>
          <w:color w:val="auto"/>
        </w:rPr>
        <w:t>On May 24, 2017, we completed the acquisition of Ambrell by acquiring all of its outstanding capital stock. Ambrell is a manufacturer of precision induction heating systems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This acquisition has been accounted for as a business combination using purchase accounting. The purchase price for Ambrell was $22.6 million in cash. Additional consideration in the form of earnouts may be paid based upon a multiple of adjusted EBITDA for 2017 and 2018. The 2017 and 2018 earnouts, in the aggregate, are capped at $18 million. As of March 31, 2018, we had accrued $5.8 million in earnout payable based on Ambrell’s 2017 adjusted EBITDA, which was paid in April 2018, and $7.0 million as a contingent consideration liability based on our current projections for Ambrell’s 2018 adjusted EBITDA. For further discussion of the acquisition, see Notes 3 and 4 to our consolidated financial statements.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restart"/>
          </w:tcPr>
          <w:p>
            <w:pPr>
              <w:jc w:val="center"/>
              <w:ind w:left="370"/>
              <w:spacing w:after="0"/>
              <w:rPr>
                <w:sz w:val="20"/>
                <w:szCs w:val="20"/>
                <w:color w:val="auto"/>
              </w:rPr>
            </w:pPr>
            <w:r>
              <w:rPr>
                <w:rFonts w:ascii="Arial" w:cs="Arial" w:eastAsia="Arial" w:hAnsi="Arial"/>
                <w:sz w:val="18"/>
                <w:szCs w:val="18"/>
                <w:b w:val="1"/>
                <w:bCs w:val="1"/>
                <w:color w:val="auto"/>
                <w:w w:val="93"/>
              </w:rPr>
              <w:t>Three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14,501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7,241</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15,785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20,588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5,556</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21,754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Semiconductor market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10,051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20,588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5,556</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21,754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- 20 -</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500" w:right="160"/>
        <w:spacing w:after="0" w:line="272" w:lineRule="auto"/>
        <w:rPr>
          <w:sz w:val="20"/>
          <w:szCs w:val="20"/>
          <w:color w:val="auto"/>
        </w:rPr>
      </w:pPr>
      <w:r>
        <w:rPr>
          <w:rFonts w:ascii="Arial" w:cs="Arial" w:eastAsia="Arial" w:hAnsi="Arial"/>
          <w:sz w:val="17"/>
          <w:szCs w:val="17"/>
          <w:color w:val="auto"/>
        </w:rPr>
        <w:t>Total consolidated orders for the three months ended March 31, 2018 were $20.6 million compared to $15.0 million for the same period in 2017 and $21.8 million for the three months ended December 31, 2017. During the three months ended March 31, 2018, the orders of our Thermal segment included $7.0 million of orders attributable to Ambrell, which we acquired on May 24, 2017, as previously discussed. Of the orders attributable to Ambrell, $2.3 million were from customers in the semiconductor market and the balance were from non-semiconductor market customers. When adjusted to eliminate the impact of the orders attributable to Ambrell, our consolidated orders would have decreased $1.5 million, or 10%, as compared to the same period in 2017. This reduction primarily represents a decrease in demand experienced by our EMS segment which we believe reflects cyclical and seasonal softening in the semiconductor ATE market.</w:t>
      </w:r>
    </w:p>
    <w:p>
      <w:pPr>
        <w:spacing w:after="0" w:line="176" w:lineRule="exact"/>
        <w:rPr>
          <w:sz w:val="20"/>
          <w:szCs w:val="20"/>
          <w:color w:val="auto"/>
        </w:rPr>
      </w:pPr>
    </w:p>
    <w:p>
      <w:pPr>
        <w:ind w:left="500" w:right="280"/>
        <w:spacing w:after="0" w:line="279" w:lineRule="auto"/>
        <w:rPr>
          <w:sz w:val="20"/>
          <w:szCs w:val="20"/>
          <w:color w:val="auto"/>
        </w:rPr>
      </w:pPr>
      <w:r>
        <w:rPr>
          <w:rFonts w:ascii="Arial" w:cs="Arial" w:eastAsia="Arial" w:hAnsi="Arial"/>
          <w:sz w:val="17"/>
          <w:szCs w:val="17"/>
          <w:color w:val="auto"/>
        </w:rPr>
        <w:t>When adjusted to eliminate the orders attributable to Ambrell, orders from customers in non-semiconductor markets for the three months ended March 31, 2018 were $3.3 million, or 25% of total consolidated orders, compared to $3.5 million, or 23% of total consolidated orders for the same period in 2017. The level of our orders in these non- semiconductor markets has varied in the past, and we expect it will vary significantly in the future as we build our presence in these markets and establish new markets for our products.</w:t>
      </w:r>
    </w:p>
    <w:p>
      <w:pPr>
        <w:spacing w:after="0" w:line="170" w:lineRule="exact"/>
        <w:rPr>
          <w:sz w:val="20"/>
          <w:szCs w:val="20"/>
          <w:color w:val="auto"/>
        </w:rPr>
      </w:pPr>
    </w:p>
    <w:p>
      <w:pPr>
        <w:ind w:left="500" w:right="60"/>
        <w:spacing w:after="0" w:line="272" w:lineRule="auto"/>
        <w:rPr>
          <w:sz w:val="20"/>
          <w:szCs w:val="20"/>
          <w:color w:val="auto"/>
        </w:rPr>
      </w:pPr>
      <w:r>
        <w:rPr>
          <w:rFonts w:ascii="Arial" w:cs="Arial" w:eastAsia="Arial" w:hAnsi="Arial"/>
          <w:sz w:val="17"/>
          <w:szCs w:val="17"/>
          <w:color w:val="auto"/>
        </w:rPr>
        <w:t>At March 31, 2018, our backlog of unfilled orders for all products was approximately $15.4 million compared with approximately $8.2 million at March 31, 2017 and $13.7 million at December 31, 2017. At March 31, 2018, our backlog included $6.3 million attributable to Ambrell. Our backlog includes customer orders which we have accepted, substantially all of which we expect to deliver in 2018.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restart"/>
          </w:tcPr>
          <w:p>
            <w:pPr>
              <w:jc w:val="center"/>
              <w:ind w:left="370"/>
              <w:spacing w:after="0"/>
              <w:rPr>
                <w:sz w:val="20"/>
                <w:szCs w:val="20"/>
                <w:color w:val="auto"/>
              </w:rPr>
            </w:pPr>
            <w:r>
              <w:rPr>
                <w:rFonts w:ascii="Arial" w:cs="Arial" w:eastAsia="Arial" w:hAnsi="Arial"/>
                <w:sz w:val="18"/>
                <w:szCs w:val="18"/>
                <w:b w:val="1"/>
                <w:bCs w:val="1"/>
                <w:color w:val="auto"/>
                <w:w w:val="93"/>
              </w:rPr>
              <w:t>Three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13,234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7,776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5,458</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13,794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18,871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4,691</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19,381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Semiconductor market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10,539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10,439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8,007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18,871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4,691</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19,381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120"/>
        <w:spacing w:after="0" w:line="293" w:lineRule="auto"/>
        <w:rPr>
          <w:sz w:val="20"/>
          <w:szCs w:val="20"/>
          <w:color w:val="auto"/>
        </w:rPr>
      </w:pPr>
      <w:r>
        <w:rPr>
          <w:rFonts w:ascii="Arial" w:cs="Arial" w:eastAsia="Arial" w:hAnsi="Arial"/>
          <w:sz w:val="16"/>
          <w:szCs w:val="16"/>
          <w:color w:val="auto"/>
        </w:rPr>
        <w:t>Total consolidated net revenues for the three months ended March 31, 2018 were $18.9 million compared to $14.2 million for the same period in 2017 and $19.4 million for the three months ended December 31, 2017. During the three months ended March 31, 2018, we recorded $6.2 million in net revenues attributable to Ambrell, $962,000 of which were from customers in the semiconductor market and the balance of which were from non-semiconductor market customers. When adjusted to eliminate the impact of the net revenues attributable to Ambrell, our consolidated net revenues would have decreased $1.5 million, or 11%, as compared to the same period in 2017. This decrease reflects the aforementioned softening in the semiconductor ATE market as well as reduced levels of demand from certain of our customers in the telecommunications market.</w:t>
      </w:r>
    </w:p>
    <w:p>
      <w:pPr>
        <w:spacing w:after="0" w:line="163" w:lineRule="exact"/>
        <w:rPr>
          <w:sz w:val="20"/>
          <w:szCs w:val="20"/>
          <w:color w:val="auto"/>
        </w:rPr>
      </w:pPr>
    </w:p>
    <w:p>
      <w:pPr>
        <w:ind w:left="500" w:right="160"/>
        <w:spacing w:after="0" w:line="341" w:lineRule="auto"/>
        <w:rPr>
          <w:sz w:val="20"/>
          <w:szCs w:val="20"/>
          <w:color w:val="auto"/>
        </w:rPr>
      </w:pPr>
      <w:r>
        <w:rPr>
          <w:rFonts w:ascii="Arial" w:cs="Arial" w:eastAsia="Arial" w:hAnsi="Arial"/>
          <w:sz w:val="16"/>
          <w:szCs w:val="16"/>
          <w:color w:val="auto"/>
        </w:rPr>
        <w:t>When adjusted to eliminate the impact of the net revenues attributable to Ambrell, as a percent of our total consolidated net revenues, net revenues from customers in non-semiconductor markets were 24% for the three months ended March 31, 2018 compared to 26% for the same period in 2017.</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00" w:right="40"/>
        <w:spacing w:after="0" w:line="279" w:lineRule="auto"/>
        <w:rPr>
          <w:sz w:val="20"/>
          <w:szCs w:val="20"/>
          <w:color w:val="auto"/>
        </w:rPr>
      </w:pPr>
      <w:r>
        <w:rPr>
          <w:rFonts w:ascii="Arial" w:cs="Arial" w:eastAsia="Arial" w:hAnsi="Arial"/>
          <w:sz w:val="17"/>
          <w:szCs w:val="17"/>
          <w:color w:val="auto"/>
        </w:rPr>
        <w:t>Both of our operating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0" w:lineRule="exact"/>
        <w:rPr>
          <w:sz w:val="20"/>
          <w:szCs w:val="20"/>
          <w:color w:val="auto"/>
        </w:rPr>
      </w:pPr>
    </w:p>
    <w:p>
      <w:pPr>
        <w:ind w:left="500"/>
        <w:spacing w:after="0" w:line="272" w:lineRule="auto"/>
        <w:rPr>
          <w:sz w:val="20"/>
          <w:szCs w:val="20"/>
          <w:color w:val="auto"/>
        </w:rPr>
      </w:pPr>
      <w:r>
        <w:rPr>
          <w:rFonts w:ascii="Arial" w:cs="Arial" w:eastAsia="Arial" w:hAnsi="Arial"/>
          <w:sz w:val="17"/>
          <w:szCs w:val="17"/>
          <w:color w:val="auto"/>
        </w:rPr>
        <w:t>We sell most of our thermal test and semiconductor production test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As a result of the acquisition of Ambrell, we now also sell into the consumer products packaging, fiber optics and other markets within the broader industrial market. The mix of customers during any given period will affect our gross margin due to differing sales discounts and commissions. For the three months ended March 31, 2018 and 2017, our OEM sales as a percentage of net revenues were 14% and 12%, respectively.</w:t>
      </w:r>
    </w:p>
    <w:p>
      <w:pPr>
        <w:spacing w:after="0" w:line="176"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500"/>
        <w:spacing w:after="0" w:line="286" w:lineRule="auto"/>
        <w:rPr>
          <w:sz w:val="20"/>
          <w:szCs w:val="20"/>
          <w:color w:val="auto"/>
        </w:rPr>
      </w:pPr>
      <w:r>
        <w:rPr>
          <w:rFonts w:ascii="Arial" w:cs="Arial" w:eastAsia="Arial" w:hAnsi="Arial"/>
          <w:sz w:val="17"/>
          <w:szCs w:val="17"/>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Three Months Ended March 31, 2018 Compared to Three Months Ended March 31, 2017</w:t>
      </w:r>
    </w:p>
    <w:p>
      <w:pPr>
        <w:spacing w:after="0" w:line="225" w:lineRule="exact"/>
        <w:rPr>
          <w:sz w:val="20"/>
          <w:szCs w:val="20"/>
          <w:color w:val="auto"/>
        </w:rPr>
      </w:pPr>
    </w:p>
    <w:p>
      <w:pPr>
        <w:jc w:val="both"/>
        <w:ind w:left="500" w:right="18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$18.9 million for the three months ended March 31, 2018 compared to $14.2 million for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$4.7 million, or 33%. Our net revenues for the three months ended March 31, 2018 included $6.2 million of net revenues attributable to Ambrell. We believe the decrease in our net revenues when adjusted to eliminate the impact of Ambrell during the first quarter of 2018 primarily reflects the factors previously discussed in the Overview.</w:t>
      </w:r>
    </w:p>
    <w:p>
      <w:pPr>
        <w:spacing w:after="0" w:line="186" w:lineRule="exact"/>
        <w:rPr>
          <w:sz w:val="20"/>
          <w:szCs w:val="20"/>
          <w:color w:val="auto"/>
        </w:rPr>
      </w:pPr>
    </w:p>
    <w:p>
      <w:pPr>
        <w:ind w:left="500" w:right="220"/>
        <w:spacing w:after="0" w:line="30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50% of net revenues for the three months ended March 31, 2018 as compared to 55%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2017. The decrease in our gross margin as a percentage of net revenues primarily reflects an increase in our fixed operating costs. Of the $1.3 million increase in these costs, $1.1 million represents the fixed operating costs attributable to Ambrell. The remaining $152,000 increase in our fixed operating costs primarily reflects higher salary and benefits expense for our Thermal segment.</w:t>
      </w:r>
    </w:p>
    <w:p>
      <w:pPr>
        <w:spacing w:after="0" w:line="156"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$2.5 million for the three months ended March 31, 2018 compared to $1.7 million for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$808,000, or 48%. Our expense for the three months ended March 31, 2018 included $1.0 million of selling costs attributable to Ambrell. When adjusted to eliminate this amount, selling expense would have decreased $224,000, or 13%, for the first quarter of 2018 as compared to same period in 2017, primarily reflecting lower levels of commissions for both of our segments and reduced travel expenditures for our Thermal segment.</w:t>
      </w:r>
    </w:p>
    <w:p>
      <w:pPr>
        <w:spacing w:after="0" w:line="191"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$1.3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compared to $935,000 for the same period in 2017, an increase of $361,000, or 39%. Engineering expense attributable to Ambrell in the first quarter of 2018 was $316,000. When adjusted to eliminate this amount, engineering expense would have increased $46,000, or 5%, for the first quarter of 2018 as compared to same period in 2017. This increase primarily reflects increased spending on materials used in new product development for both of our segments.</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500" w:right="100"/>
        <w:spacing w:after="0" w:line="293"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$3.0 million for the three months ended March 31, 2018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 million for the same period in 2017, an increase of $996,000, or 50%. Our expenses for the first quarter of 2018 included $787,000 of general and administrative expense attributable to Ambrell. Ambrell’s general and administrative expense included $193,000 of amortization of intangible assets. When adjusted to eliminate the expenses attributable to Ambrell, general and administrative expense would have increased $209,000 or 11%, primarily reflecting an increase in fees paid to third party professionals who assist us in a variety of compliance related matters and higher levels of accruals for profit related bonuses. These increases were partially offset by reduced salary and benefits in corporate.</w:t>
      </w:r>
    </w:p>
    <w:p>
      <w:pPr>
        <w:spacing w:after="0" w:line="163" w:lineRule="exact"/>
        <w:rPr>
          <w:sz w:val="20"/>
          <w:szCs w:val="20"/>
          <w:color w:val="auto"/>
        </w:rPr>
      </w:pPr>
    </w:p>
    <w:p>
      <w:pPr>
        <w:ind w:left="500" w:right="260"/>
        <w:spacing w:after="0" w:line="259" w:lineRule="auto"/>
        <w:rPr>
          <w:sz w:val="20"/>
          <w:szCs w:val="20"/>
          <w:color w:val="auto"/>
        </w:rPr>
      </w:pPr>
      <w:r>
        <w:rPr>
          <w:rFonts w:ascii="Arial" w:cs="Arial" w:eastAsia="Arial" w:hAnsi="Arial"/>
          <w:sz w:val="18"/>
          <w:szCs w:val="18"/>
          <w:i w:val="1"/>
          <w:iCs w:val="1"/>
          <w:color w:val="auto"/>
        </w:rPr>
        <w:t xml:space="preserve">Contingent Consideration Liability Adjustment. </w:t>
      </w:r>
      <w:r>
        <w:rPr>
          <w:rFonts w:ascii="Arial" w:cs="Arial" w:eastAsia="Arial" w:hAnsi="Arial"/>
          <w:sz w:val="18"/>
          <w:szCs w:val="18"/>
          <w:color w:val="auto"/>
        </w:rPr>
        <w:t>During the three months ended March 31, 2018, we recorded an increase in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contingent consideration of $1.7 million. This liability is a result of our acquisition of Ambrell in May 2017 and is discussed further in Notes 3 and 4 to our consolidated financial statements. The increase in the fair value is primarily a result of an increase in the projected adjusted EBITDA of Ambrell for the year ending December 31, 2018.</w:t>
      </w:r>
    </w:p>
    <w:p>
      <w:pPr>
        <w:spacing w:after="0" w:line="186"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three months ended March 31, 2018, we recorded income tax expense of $601,000 compared to $1.1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Our effective tax rate was 61% for the three months ended March 31, 2018 compared to 35% for the same period in 2017. On a quarterly basis, we record income tax expense or benefit based on the expected annualized effective tax rate for the various taxing jurisdictions in which we operate our businesses. The increase in our effective tax rate reflects recording the aforementioned increase of $1.7 million in our liability for contingent consideration which is not deductible for tax purposes.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500" w:right="70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3" w:lineRule="exact"/>
        <w:rPr>
          <w:sz w:val="20"/>
          <w:szCs w:val="20"/>
          <w:color w:val="auto"/>
        </w:rPr>
      </w:pPr>
    </w:p>
    <w:p>
      <w:pPr>
        <w:ind w:left="500" w:right="16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Liquidity</w:t>
            </w: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6320" w:type="dxa"/>
            <w:vAlign w:val="bottom"/>
            <w:gridSpan w:val="2"/>
          </w:tcPr>
          <w:p>
            <w:pPr>
              <w:spacing w:after="0"/>
              <w:rPr>
                <w:sz w:val="20"/>
                <w:szCs w:val="20"/>
                <w:color w:val="auto"/>
              </w:rPr>
            </w:pPr>
            <w:r>
              <w:rPr>
                <w:rFonts w:ascii="Arial" w:cs="Arial" w:eastAsia="Arial" w:hAnsi="Arial"/>
                <w:sz w:val="18"/>
                <w:szCs w:val="18"/>
                <w:color w:val="auto"/>
                <w:w w:val="95"/>
              </w:rPr>
              <w:t>Our cash and cash equivalents and working capital were as follows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6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17,649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16,580</w:t>
            </w:r>
          </w:p>
        </w:tc>
      </w:tr>
    </w:tbl>
    <w:p>
      <w:pPr>
        <w:spacing w:after="0" w:line="187"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As of March 31, 2018, $2.8 million of our cash and cash equivalents was held by our foreign subsidiaries. We currently expect our cash and cash equivalents and projected future cash flow to be sufficient to support our short term working capital requirements, the post-acquisition integration of Ambrell, the earnout payable and potential contingent consideration payments for Ambrell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00"/>
        <w:spacing w:after="0" w:line="290"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three months ended March 31, 2018 was $2.3 million.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2018, we recorded net earnings of $381,000 which included the impact of a $1.2 million increase in the fair value of our contingent consideration liability and a $478,000 increase in the liability for the earnout payable, both of which are a result of our acquisition of Ambrell in May 2017 as discussed further in Notes 3 and 4 to our consolidated financial statements. During the three months ended March 31, 2018, we also recorded non-cash charges of $405,000 for depreciation and amortization and $120,000 for amortization of deferred compensation expense related to stock-based awards. Inventories and accounts payable increased $1.8 million and $1.2 million, respectively, during the three months ended March 31, 2018, reflecting increased business activity. Accrued wages and benefits declined $1.0 million during the first three months of 2018, primarily reflecting the payout of profit-related bonuses that had been accrued at December 31, 2017 on our results for the year.</w:t>
      </w:r>
    </w:p>
    <w:p>
      <w:pPr>
        <w:spacing w:after="0" w:line="164" w:lineRule="exact"/>
        <w:rPr>
          <w:sz w:val="20"/>
          <w:szCs w:val="20"/>
          <w:color w:val="auto"/>
        </w:rPr>
      </w:pPr>
    </w:p>
    <w:p>
      <w:pPr>
        <w:ind w:left="500" w:right="12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three months ended March 31, 2018, purchases of property and equipment were $1.2 million, primarily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for the new facility for Ambrell in Rochester, New York. We currently plan to spend approximately $2.1 million on leasehold improvements for this facility. We expect to spend the balance of these funds during the second quarter of 2018 and took occupancy of the Rochester facility on May 1, 2018. We have no other significant commitments for capital expenditures for the balance of 2018; however, depending upon changes in market demand or manufacturing and sales strategies, we may make such purchases or investments as we deem necessary and appropriate.</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500" w:right="66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2018, there have been no significant changes to the accounting policies that we have deemed critical. These policies are more fully described in our 2017 Form 10-K.</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left="500" w:right="120"/>
        <w:spacing w:after="0" w:line="263" w:lineRule="auto"/>
        <w:rPr>
          <w:sz w:val="20"/>
          <w:szCs w:val="20"/>
          <w:color w:val="auto"/>
        </w:rPr>
      </w:pPr>
      <w:r>
        <w:rPr>
          <w:rFonts w:ascii="Arial" w:cs="Arial" w:eastAsia="Arial" w:hAnsi="Arial"/>
          <w:sz w:val="18"/>
          <w:szCs w:val="18"/>
          <w:color w:val="auto"/>
        </w:rPr>
        <w:t>There were no off-balance sheet arrangements during the three months ended March 31, 2018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95"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2" w:lineRule="exact"/>
        <w:rPr>
          <w:sz w:val="20"/>
          <w:szCs w:val="20"/>
          <w:color w:val="auto"/>
        </w:rPr>
      </w:pPr>
    </w:p>
    <w:p>
      <w:pPr>
        <w:ind w:left="500" w:right="560"/>
        <w:spacing w:after="0" w:line="280"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500" w:right="160"/>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500" w:right="80"/>
        <w:spacing w:after="0" w:line="263"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2017 Form 10-K filed with the Securities and Exchange Commission on March 28, 2018.</w:t>
      </w:r>
    </w:p>
    <w:p>
      <w:pPr>
        <w:spacing w:after="0" w:line="395"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38">
        <w:r>
          <w:rPr>
            <w:rFonts w:ascii="Arial" w:cs="Arial" w:eastAsia="Arial" w:hAnsi="Arial"/>
            <w:sz w:val="16"/>
            <w:szCs w:val="16"/>
            <w:u w:val="single" w:color="auto"/>
            <w:color w:val="0000EE"/>
          </w:rPr>
          <w:t>Bylaws, as amended and restated effective April 23, 2018 (1)</w:t>
        </w:r>
      </w:hyperlink>
    </w:p>
    <w:p>
      <w:pPr>
        <w:spacing w:after="0" w:line="23" w:lineRule="exact"/>
        <w:rPr>
          <w:sz w:val="20"/>
          <w:szCs w:val="20"/>
          <w:color w:val="auto"/>
        </w:rPr>
      </w:pPr>
    </w:p>
    <w:p>
      <w:pPr>
        <w:ind w:left="3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39">
        <w:r>
          <w:rPr>
            <w:rFonts w:ascii="Arial" w:cs="Arial" w:eastAsia="Arial" w:hAnsi="Arial"/>
            <w:sz w:val="16"/>
            <w:szCs w:val="16"/>
            <w:u w:val="single" w:color="auto"/>
            <w:color w:val="0000EE"/>
          </w:rPr>
          <w:t>2018 Executive Officer Compensation Plan (2)</w:t>
        </w:r>
      </w:hyperlink>
    </w:p>
    <w:p>
      <w:pPr>
        <w:spacing w:after="0" w:line="9" w:lineRule="exact"/>
        <w:rPr>
          <w:sz w:val="20"/>
          <w:szCs w:val="20"/>
          <w:color w:val="auto"/>
        </w:rPr>
      </w:pPr>
    </w:p>
    <w:p>
      <w:pPr>
        <w:ind w:left="3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6"/>
            <w:szCs w:val="16"/>
            <w:u w:val="single" w:color="auto"/>
            <w:color w:val="0000EE"/>
          </w:rPr>
          <w:t>Certification of Chief Executive Officer pursuant to Rule 13a-14(a).</w:t>
        </w:r>
      </w:hyperlink>
    </w:p>
    <w:p>
      <w:pPr>
        <w:spacing w:after="0" w:line="9" w:lineRule="exact"/>
        <w:rPr>
          <w:sz w:val="20"/>
          <w:szCs w:val="20"/>
          <w:color w:val="auto"/>
        </w:rPr>
      </w:pPr>
    </w:p>
    <w:p>
      <w:pPr>
        <w:ind w:left="3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6"/>
            <w:szCs w:val="16"/>
            <w:u w:val="single" w:color="auto"/>
            <w:color w:val="0000EE"/>
          </w:rPr>
          <w:t>Certification of Chief Financial Officer pursuant to Rule 13a-14(a).</w:t>
        </w:r>
      </w:hyperlink>
    </w:p>
    <w:p>
      <w:pPr>
        <w:spacing w:after="0" w:line="9" w:lineRule="exact"/>
        <w:rPr>
          <w:sz w:val="20"/>
          <w:szCs w:val="20"/>
          <w:color w:val="auto"/>
        </w:rPr>
      </w:pPr>
    </w:p>
    <w:p>
      <w:pPr>
        <w:ind w:left="1040" w:right="300" w:hanging="687"/>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1">
        <w:r>
          <w:rPr>
            <w:rFonts w:ascii="Arial" w:cs="Arial" w:eastAsia="Arial" w:hAnsi="Arial"/>
            <w:sz w:val="18"/>
            <w:szCs w:val="18"/>
            <w:u w:val="single" w:color="auto"/>
            <w:color w:val="0000EE"/>
          </w:rPr>
          <w:t>Certification of Chief Executive Officer furnished pursuant to 18 U.S.C. Section 1350, as adopted pursuant to Section 906 of the Sarbanes-</w:t>
        </w:r>
      </w:hyperlink>
      <w:hyperlink w:anchor="page31">
        <w:r>
          <w:rPr>
            <w:rFonts w:ascii="Arial" w:cs="Arial" w:eastAsia="Arial" w:hAnsi="Arial"/>
            <w:sz w:val="18"/>
            <w:szCs w:val="18"/>
            <w:u w:val="single" w:color="auto"/>
            <w:color w:val="0000EE"/>
          </w:rPr>
          <w:t>Oxley Act of 2002.</w:t>
        </w:r>
      </w:hyperlink>
    </w:p>
    <w:p>
      <w:pPr>
        <w:ind w:left="1040" w:right="340" w:hanging="687"/>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32">
        <w:r>
          <w:rPr>
            <w:rFonts w:ascii="Arial" w:cs="Arial" w:eastAsia="Arial" w:hAnsi="Arial"/>
            <w:sz w:val="18"/>
            <w:szCs w:val="18"/>
            <w:u w:val="single" w:color="auto"/>
            <w:color w:val="0000EE"/>
          </w:rPr>
          <w:t>Certification of Chief Financial Officer furnished pursuant to 18 U.S.C. Section 1350, as adopted pursuant to Section 906 of the Sarbanes-</w:t>
        </w:r>
      </w:hyperlink>
      <w:hyperlink w:anchor="page32">
        <w:r>
          <w:rPr>
            <w:rFonts w:ascii="Arial" w:cs="Arial" w:eastAsia="Arial" w:hAnsi="Arial"/>
            <w:sz w:val="18"/>
            <w:szCs w:val="18"/>
            <w:u w:val="single" w:color="auto"/>
            <w:color w:val="0000EE"/>
          </w:rPr>
          <w:t>Oxley Act of 2002.</w:t>
        </w:r>
      </w:hyperlink>
    </w:p>
    <w:p>
      <w:pPr>
        <w:ind w:left="360"/>
        <w:spacing w:after="0"/>
        <w:rPr>
          <w:sz w:val="20"/>
          <w:szCs w:val="20"/>
          <w:color w:val="auto"/>
        </w:rPr>
      </w:pPr>
      <w:r>
        <w:rPr>
          <w:rFonts w:ascii="Arial" w:cs="Arial" w:eastAsia="Arial" w:hAnsi="Arial"/>
          <w:sz w:val="18"/>
          <w:szCs w:val="18"/>
          <w:color w:val="auto"/>
        </w:rPr>
        <w:t>101.INS XBRL Taxonomy Instance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101.LABXBRL Taxonomy Extension Label Linkbase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26" w:lineRule="exact"/>
        <w:rPr>
          <w:sz w:val="20"/>
          <w:szCs w:val="20"/>
          <w:color w:val="auto"/>
        </w:rPr>
      </w:pPr>
    </w:p>
    <w:p>
      <w:pPr>
        <w:ind w:left="1040" w:hanging="68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April 23, 2018, File No.</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001-36117, filed April 25, 2018, and incorporated herein by reference.</w:t>
      </w:r>
    </w:p>
    <w:p>
      <w:pPr>
        <w:spacing w:after="0" w:line="8" w:lineRule="exact"/>
        <w:rPr>
          <w:rFonts w:ascii="Arial" w:cs="Arial" w:eastAsia="Arial" w:hAnsi="Arial"/>
          <w:sz w:val="18"/>
          <w:szCs w:val="18"/>
          <w:color w:val="auto"/>
        </w:rPr>
      </w:pPr>
    </w:p>
    <w:p>
      <w:pPr>
        <w:ind w:left="1040" w:hanging="681"/>
        <w:spacing w:after="0" w:line="26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March 12, 2018. File No. 001-36117, filed March 15, 2018, and incorporated herein by reference.</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823"/>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May 14, 2018</w:t>
            </w:r>
          </w:p>
        </w:tc>
        <w:tc>
          <w:tcPr>
            <w:tcW w:w="3500" w:type="dxa"/>
            <w:vAlign w:val="bottom"/>
            <w:gridSpan w:val="3"/>
          </w:tcPr>
          <w:p>
            <w:pPr>
              <w:spacing w:after="0"/>
              <w:rPr>
                <w:sz w:val="20"/>
                <w:szCs w:val="20"/>
                <w:color w:val="auto"/>
              </w:rPr>
            </w:pPr>
            <w:r>
              <w:rPr>
                <w:rFonts w:ascii="Arial" w:cs="Arial" w:eastAsia="Arial" w:hAnsi="Arial"/>
                <w:sz w:val="18"/>
                <w:szCs w:val="18"/>
                <w:color w:val="auto"/>
              </w:rPr>
              <w:t>/s/ James Pelrin</w:t>
            </w:r>
          </w:p>
        </w:tc>
      </w:tr>
      <w:tr>
        <w:trPr>
          <w:trHeight w:val="222"/>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Pelrin</w:t>
            </w:r>
          </w:p>
        </w:tc>
        <w:tc>
          <w:tcPr>
            <w:tcW w:w="2380" w:type="dxa"/>
            <w:vAlign w:val="bottom"/>
            <w:gridSpan w:val="2"/>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3"/>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May 14, 2018</w:t>
            </w:r>
          </w:p>
        </w:tc>
        <w:tc>
          <w:tcPr>
            <w:tcW w:w="350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2"/>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Hugh T. Regan, Jr.</w:t>
            </w:r>
          </w:p>
        </w:tc>
        <w:tc>
          <w:tcPr>
            <w:tcW w:w="19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i w:val="1"/>
                <w:iCs w:val="1"/>
                <w:color w:val="auto"/>
                <w:w w:val="91"/>
              </w:rPr>
              <w:t>Secretary, Treasurer and Chief Financial Officer</w:t>
            </w:r>
          </w:p>
        </w:tc>
      </w:tr>
      <w:tr>
        <w:trPr>
          <w:trHeight w:val="432"/>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500" w:type="dxa"/>
            <w:vAlign w:val="bottom"/>
            <w:gridSpan w:val="3"/>
          </w:tcPr>
          <w:p>
            <w:pPr>
              <w:ind w:left="2100"/>
              <w:spacing w:after="0"/>
              <w:rPr>
                <w:sz w:val="20"/>
                <w:szCs w:val="20"/>
                <w:color w:val="auto"/>
              </w:rPr>
            </w:pPr>
            <w:r>
              <w:rPr>
                <w:rFonts w:ascii="Arial" w:cs="Arial" w:eastAsia="Arial" w:hAnsi="Arial"/>
                <w:sz w:val="18"/>
                <w:szCs w:val="18"/>
                <w:color w:val="auto"/>
              </w:rPr>
              <w:t>- 26 -</w:t>
            </w:r>
          </w:p>
        </w:tc>
      </w:tr>
    </w:tbl>
    <w:p>
      <w:pPr>
        <w:sectPr>
          <w:pgSz w:w="11900" w:h="16838" w:orient="portrait"/>
          <w:cols w:equalWidth="0" w:num="1">
            <w:col w:w="10400"/>
          </w:cols>
          <w:pgMar w:left="240" w:top="118" w:right="1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780" w:hanging="32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4" w:lineRule="exact"/>
        <w:rPr>
          <w:rFonts w:ascii="Arial" w:cs="Arial" w:eastAsia="Arial" w:hAnsi="Arial"/>
          <w:sz w:val="18"/>
          <w:szCs w:val="18"/>
          <w:color w:val="auto"/>
        </w:rPr>
      </w:pPr>
    </w:p>
    <w:p>
      <w:pPr>
        <w:ind w:right="180" w:firstLine="457"/>
        <w:spacing w:after="0" w:line="341" w:lineRule="auto"/>
        <w:tabs>
          <w:tab w:leader="none" w:pos="7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160" w:firstLine="457"/>
        <w:spacing w:after="0" w:line="277" w:lineRule="auto"/>
        <w:tabs>
          <w:tab w:leader="none" w:pos="7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firstLine="457"/>
        <w:spacing w:after="0" w:line="263" w:lineRule="auto"/>
        <w:tabs>
          <w:tab w:leader="none" w:pos="7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340" w:right="240" w:firstLine="351"/>
        <w:spacing w:after="0" w:line="263" w:lineRule="auto"/>
        <w:tabs>
          <w:tab w:leader="none" w:pos="9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340" w:right="580" w:firstLine="351"/>
        <w:spacing w:after="0" w:line="263" w:lineRule="auto"/>
        <w:tabs>
          <w:tab w:leader="none" w:pos="9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340" w:right="760" w:firstLine="351"/>
        <w:spacing w:after="0" w:line="341" w:lineRule="auto"/>
        <w:tabs>
          <w:tab w:leader="none" w:pos="9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340" w:right="120" w:firstLine="351"/>
        <w:spacing w:after="0" w:line="263" w:lineRule="auto"/>
        <w:tabs>
          <w:tab w:leader="none" w:pos="9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100" w:firstLine="457"/>
        <w:spacing w:after="0" w:line="307" w:lineRule="auto"/>
        <w:tabs>
          <w:tab w:leader="none" w:pos="7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340" w:right="140" w:firstLine="351"/>
        <w:spacing w:after="0" w:line="277" w:lineRule="auto"/>
        <w:tabs>
          <w:tab w:leader="none" w:pos="9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340" w:right="120" w:firstLine="351"/>
        <w:spacing w:after="0" w:line="277" w:lineRule="auto"/>
        <w:tabs>
          <w:tab w:leader="none" w:pos="9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780" w:hanging="323"/>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4" w:lineRule="exact"/>
        <w:rPr>
          <w:rFonts w:ascii="Arial" w:cs="Arial" w:eastAsia="Arial" w:hAnsi="Arial"/>
          <w:sz w:val="18"/>
          <w:szCs w:val="18"/>
          <w:color w:val="auto"/>
        </w:rPr>
      </w:pPr>
    </w:p>
    <w:p>
      <w:pPr>
        <w:ind w:right="180" w:firstLine="457"/>
        <w:spacing w:after="0" w:line="341" w:lineRule="auto"/>
        <w:tabs>
          <w:tab w:leader="none" w:pos="7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160" w:firstLine="457"/>
        <w:spacing w:after="0" w:line="277" w:lineRule="auto"/>
        <w:tabs>
          <w:tab w:leader="none" w:pos="7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firstLine="457"/>
        <w:spacing w:after="0" w:line="263" w:lineRule="auto"/>
        <w:tabs>
          <w:tab w:leader="none" w:pos="7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340" w:right="240" w:firstLine="351"/>
        <w:spacing w:after="0" w:line="263" w:lineRule="auto"/>
        <w:tabs>
          <w:tab w:leader="none" w:pos="9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340" w:right="580" w:firstLine="351"/>
        <w:spacing w:after="0" w:line="263" w:lineRule="auto"/>
        <w:tabs>
          <w:tab w:leader="none" w:pos="99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340" w:right="760" w:firstLine="351"/>
        <w:spacing w:after="0" w:line="341" w:lineRule="auto"/>
        <w:tabs>
          <w:tab w:leader="none" w:pos="98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340" w:right="120" w:firstLine="351"/>
        <w:spacing w:after="0" w:line="263" w:lineRule="auto"/>
        <w:tabs>
          <w:tab w:leader="none" w:pos="99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100" w:firstLine="457"/>
        <w:spacing w:after="0" w:line="307" w:lineRule="auto"/>
        <w:tabs>
          <w:tab w:leader="none" w:pos="7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340" w:right="140" w:firstLine="351"/>
        <w:spacing w:after="0" w:line="277" w:lineRule="auto"/>
        <w:tabs>
          <w:tab w:leader="none" w:pos="9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340" w:right="120" w:firstLine="351"/>
        <w:spacing w:after="0" w:line="277" w:lineRule="auto"/>
        <w:tabs>
          <w:tab w:leader="none" w:pos="9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ending March 31, 2018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440" w:hanging="432"/>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May 14,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connection with the Quarterly Report of inTEST Corporation (the "Company") on Form 10-Q for the period ending March 31, 2018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8"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7"/>
    </w:lvl>
  </w:abstractNum>
  <w:abstractNum w:abstractNumId="12">
    <w:nsid w:val="25E45D32"/>
    <w:multiLevelType w:val="hybridMultilevel"/>
    <w:lvl w:ilvl="0">
      <w:lvlJc w:val="left"/>
      <w:lvlText w:val="(%1)"/>
      <w:numFmt w:val="decimal"/>
      <w:start w:val="9"/>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decimal"/>
      <w:start w:val="12"/>
    </w:lvl>
    <w:lvl w:ilvl="1">
      <w:lvlJc w:val="left"/>
      <w:lvlText w:val="-"/>
      <w:numFmt w:val="bullet"/>
      <w:start w:val="1"/>
    </w:lvl>
  </w:abstractNum>
  <w:abstractNum w:abstractNumId="16">
    <w:nsid w:val="7C83E458"/>
    <w:multiLevelType w:val="hybridMultilevel"/>
    <w:lvl w:ilvl="0">
      <w:lvlJc w:val="left"/>
      <w:lvlText w:val="(%1)"/>
      <w:numFmt w:val="decimal"/>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38" Type="http://schemas.openxmlformats.org/officeDocument/2006/relationships/hyperlink" Target="http://www.sec.gov/Archives/edgar/data/1036262/000143774918007703/ex_111081.htm" TargetMode="External"/><Relationship Id="rId39" Type="http://schemas.openxmlformats.org/officeDocument/2006/relationships/hyperlink" Target="http://www.sec.gov/Archives/edgar/data/1036262/000143774918004755/ex_10787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2019-12-28T22:05:23Z</dcterms:created>
  <dcterms:modified xsi:type="dcterms:W3CDTF">2019-12-28T22:05:23Z</dcterms:modified>
</cp:coreProperties>
</file>